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57" w:lineRule="auto"/>
        <w:jc w:val="center"/>
      </w:pPr>
      <w:r>
        <w:rPr>
          <w:rFonts w:ascii="Aptos" w:hAnsi="Aptos"/>
          <w:b/>
          <w:i w:val="0"/>
          <w:color w:val="2563EB"/>
          <w:sz w:val="32"/>
        </w:rPr>
        <w:t>NEVRANO.STUDIOS</w:t>
      </w:r>
    </w:p>
    <w:p>
      <w:pPr>
        <w:spacing w:after="80" w:line="257" w:lineRule="auto"/>
        <w:jc w:val="center"/>
      </w:pPr>
      <w:r>
        <w:rPr>
          <w:rFonts w:ascii="Aptos" w:hAnsi="Aptos"/>
          <w:b/>
          <w:i w:val="0"/>
          <w:color w:val="172554"/>
          <w:sz w:val="56"/>
        </w:rPr>
        <w:t>Términos y Condiciones</w:t>
      </w:r>
    </w:p>
    <w:p>
      <w:pPr>
        <w:spacing w:after="200" w:line="257" w:lineRule="auto"/>
        <w:jc w:val="center"/>
      </w:pPr>
      <w:r>
        <w:rPr>
          <w:rFonts w:ascii="Aptos" w:hAnsi="Aptos"/>
          <w:b w:val="0"/>
          <w:i w:val="0"/>
          <w:color w:val="334155"/>
          <w:sz w:val="24"/>
        </w:rPr>
        <w:t>Contratación y prestación de servicios de desarrollo web y sistemas digitales</w:t>
      </w:r>
    </w:p>
    <w:p>
      <w:pPr>
        <w:spacing w:after="400" w:line="257" w:lineRule="auto"/>
        <w:jc w:val="center"/>
      </w:pPr>
      <w:r>
        <w:rPr>
          <w:rFonts w:ascii="Aptos" w:hAnsi="Aptos"/>
          <w:b w:val="0"/>
          <w:i w:val="0"/>
          <w:color w:val="334155"/>
          <w:sz w:val="18"/>
        </w:rPr>
        <w:t>Versión 1.2 - Vigente desde el 15 de septiembre de 2026</w:t>
      </w:r>
    </w:p>
    <w:tbl>
      <w:tblPr>
        <w:tblW w:type="auto" w:w="0"/>
        <w:jc w:val="center"/>
        <w:tblLook w:firstColumn="1" w:firstRow="1" w:lastColumn="0" w:lastRow="0" w:noHBand="0" w:noVBand="1" w:val="04A0"/>
      </w:tblPr>
      <w:tblGrid>
        <w:gridCol w:w="10166"/>
      </w:tblGrid>
      <w:tr>
        <w:tc>
          <w:tcPr>
            <w:tcW w:type="dxa" w:w="10166"/>
            <w:shd w:fill="DCFCE7"/>
            <w:tcBorders>
              <w:top w:val="single" w:sz="4" w:color="CBD5E1"/>
              <w:left w:val="single" w:sz="4" w:color="CBD5E1"/>
              <w:bottom w:val="single" w:sz="4" w:color="CBD5E1"/>
              <w:right w:val="single" w:sz="4" w:color="CBD5E1"/>
            </w:tcBorders>
          </w:tcPr>
          <w:p>
            <w:pPr>
              <w:spacing w:after="0"/>
            </w:pPr>
            <w:r>
              <w:rPr>
                <w:rFonts w:ascii="Aptos" w:hAnsi="Aptos"/>
                <w:b/>
                <w:i w:val="0"/>
                <w:color w:val="15803D"/>
                <w:sz w:val="20"/>
              </w:rPr>
              <w:t>Prestador</w:t>
              <w:br/>
            </w:r>
            <w:r>
              <w:rPr>
                <w:rFonts w:ascii="Aptos" w:hAnsi="Aptos"/>
                <w:b w:val="0"/>
                <w:i w:val="0"/>
                <w:color w:val="334155"/>
                <w:sz w:val="18"/>
              </w:rPr>
              <w:t>Nevrano.Studios, nombre comercial bajo el cual se prestan los servicios identificados en la propuesta, presupuesto, orden de trabajo y/o comprobante fiscal correspondiente. Sitio: https://nevrano.studio  |  Email: nevrano.studios@gmail.com  |  WhatsApp: +54 11 5405-6534.</w:t>
            </w:r>
          </w:p>
        </w:tc>
      </w:tr>
    </w:tbl>
    <w:p>
      <w:pPr>
        <w:spacing w:after="0"/>
      </w:pPr>
    </w:p>
    <w:p>
      <w:pPr>
        <w:spacing w:after="0" w:line="257" w:lineRule="auto"/>
      </w:pPr>
      <w:r>
        <w:rPr>
          <w:rFonts w:ascii="Aptos" w:hAnsi="Aptos"/>
          <w:b w:val="0"/>
          <w:i w:val="0"/>
          <w:color w:val="334155"/>
          <w:sz w:val="19"/>
        </w:rPr>
        <w:t>Estos Términos y Condiciones integran toda contratación de servicios de Nevrano.Studios cuando hayan sido puestos a disposición del Cliente con anterioridad a su aceptación. La simple navegación por el sitio web no implica aceptación contractual.</w:t>
      </w:r>
    </w:p>
    <w:p>
      <w:pPr>
        <w:keepNext/>
        <w:spacing w:before="240" w:after="100"/>
        <w:pBdr>
          <w:bottom w:val="single" w:sz="8" w:space="1" w:color="2563EB"/>
        </w:pBdr>
      </w:pPr>
      <w:r>
        <w:rPr>
          <w:rFonts w:ascii="Aptos" w:hAnsi="Aptos"/>
          <w:b/>
          <w:i w:val="0"/>
          <w:color w:val="172554"/>
          <w:sz w:val="29"/>
        </w:rPr>
        <w:t>1. Objeto</w:t>
      </w:r>
    </w:p>
    <w:p>
      <w:pPr>
        <w:spacing w:after="80" w:line="257" w:lineRule="auto"/>
      </w:pPr>
      <w:r>
        <w:rPr>
          <w:rFonts w:ascii="Aptos" w:hAnsi="Aptos"/>
          <w:b w:val="0"/>
          <w:i w:val="0"/>
          <w:color w:val="0F172A"/>
          <w:sz w:val="20"/>
        </w:rPr>
        <w:t>Los presentes Términos y Condiciones regulan la relación entre Nevrano.Studios (en adelante, “Nevrano” o el “Prestador”) y la persona humana o jurídica que contrata sus servicios (en adelante, el “Cliente”), respecto del diseño, desarrollo, configuración, implementación, publicación, soporte, mantenimiento y/o evolución de sitios web, aplicaciones web, paneles administrativos, bases de datos, integraciones, automatizaciones y demás soluciones digitales expresamente detalladas en la propuesta o presupuesto aceptado.</w:t>
      </w:r>
    </w:p>
    <w:p>
      <w:pPr>
        <w:spacing w:after="80" w:line="257" w:lineRule="auto"/>
      </w:pPr>
      <w:r>
        <w:rPr>
          <w:rFonts w:ascii="Aptos" w:hAnsi="Aptos"/>
          <w:b w:val="0"/>
          <w:i w:val="0"/>
          <w:color w:val="0F172A"/>
          <w:sz w:val="20"/>
        </w:rPr>
        <w:t>La propuesta comercial, presupuesto, alcance funcional, cronograma, anexos, comunicaciones de aprobación y documentación de entrega forman parte de la contratación en cuanto resulten aplicables al Proyecto.</w:t>
      </w:r>
    </w:p>
    <w:p>
      <w:pPr>
        <w:keepNext/>
        <w:spacing w:before="240" w:after="100"/>
        <w:pBdr>
          <w:bottom w:val="single" w:sz="8" w:space="1" w:color="2563EB"/>
        </w:pBdr>
      </w:pPr>
      <w:r>
        <w:rPr>
          <w:rFonts w:ascii="Aptos" w:hAnsi="Aptos"/>
          <w:b/>
          <w:i w:val="0"/>
          <w:color w:val="172554"/>
          <w:sz w:val="29"/>
        </w:rPr>
        <w:t>2. Información previa y aceptación</w:t>
      </w:r>
    </w:p>
    <w:p>
      <w:pPr>
        <w:spacing w:after="80" w:line="257" w:lineRule="auto"/>
      </w:pPr>
      <w:r>
        <w:rPr>
          <w:rFonts w:ascii="Aptos" w:hAnsi="Aptos"/>
          <w:b w:val="0"/>
          <w:i w:val="0"/>
          <w:color w:val="0F172A"/>
          <w:sz w:val="20"/>
        </w:rPr>
        <w:t>Nevrano pondrá a disposición del Cliente, antes de la contratación, información suficiente sobre el servicio, alcance, precio, forma de pago y condiciones relevantes. Estos Términos deberán encontrarse disponibles antes de la aceptación y se interpretarán conjuntamente con la propuesta particular del Proyecto.</w:t>
      </w:r>
    </w:p>
    <w:p>
      <w:pPr>
        <w:pStyle w:val="ListBullet"/>
        <w:spacing w:after="40" w:line="250" w:lineRule="auto"/>
      </w:pPr>
      <w:r>
        <w:rPr>
          <w:rFonts w:ascii="Aptos" w:hAnsi="Aptos"/>
          <w:b w:val="0"/>
          <w:i w:val="0"/>
          <w:color w:val="0F172A"/>
          <w:sz w:val="20"/>
        </w:rPr>
        <w:t>La aceptación podrá documentarse mediante firma manuscrita o digital, aceptación electrónica expresa, confirmación escrita de la propuesta, aceptación mediante un mecanismo electrónico habilitado o pago total o parcial realizado luego de haber recibido la propuesta y estos Términos.</w:t>
      </w:r>
    </w:p>
    <w:p>
      <w:pPr>
        <w:pStyle w:val="ListBullet"/>
        <w:spacing w:after="40" w:line="250" w:lineRule="auto"/>
      </w:pPr>
      <w:r>
        <w:rPr>
          <w:rFonts w:ascii="Aptos" w:hAnsi="Aptos"/>
          <w:b w:val="0"/>
          <w:i w:val="0"/>
          <w:color w:val="0F172A"/>
          <w:sz w:val="20"/>
        </w:rPr>
        <w:t>La confirmación escrita del Cliente indicando su voluntad de iniciar el Proyecto, una vez que estos Términos y la propuesta correspondiente hayan sido puestos a su disposición, constituirá aceptación expresa de la contratación. Mediante dicha confirmación, el Cliente declara haber recibido y tenido oportunidad razonable de revisar los presentes Términos y Condiciones y la propuesta particular antes de aceptarlos.</w:t>
      </w:r>
    </w:p>
    <w:p>
      <w:pPr>
        <w:pStyle w:val="ListBullet"/>
        <w:spacing w:after="40" w:line="250" w:lineRule="auto"/>
      </w:pPr>
      <w:r>
        <w:rPr>
          <w:rFonts w:ascii="Aptos" w:hAnsi="Aptos"/>
          <w:b w:val="0"/>
          <w:i w:val="0"/>
          <w:color w:val="0F172A"/>
          <w:sz w:val="20"/>
        </w:rPr>
        <w:t>La simple navegación por el sitio web de Nevrano no constituye aceptación de un contrato.</w:t>
      </w:r>
    </w:p>
    <w:p>
      <w:pPr>
        <w:pStyle w:val="ListBullet"/>
        <w:spacing w:after="40" w:line="250" w:lineRule="auto"/>
      </w:pPr>
      <w:r>
        <w:rPr>
          <w:rFonts w:ascii="Aptos" w:hAnsi="Aptos"/>
          <w:b w:val="0"/>
          <w:i w:val="0"/>
          <w:color w:val="0F172A"/>
          <w:sz w:val="20"/>
        </w:rPr>
        <w:t>En caso de contradicción entre una cláusula general y una condición particular negociada expresamente para el Proyecto, prevalecerá la condición particular, salvo norma obligatoria en contrario.</w:t>
      </w:r>
    </w:p>
    <w:p>
      <w:pPr>
        <w:pStyle w:val="ListBullet"/>
        <w:spacing w:after="40" w:line="250" w:lineRule="auto"/>
      </w:pPr>
      <w:r>
        <w:rPr>
          <w:rFonts w:ascii="Aptos" w:hAnsi="Aptos"/>
          <w:b w:val="0"/>
          <w:i w:val="0"/>
          <w:color w:val="0F172A"/>
          <w:sz w:val="20"/>
        </w:rPr>
        <w:t>Si el Cliente reviste carácter de consumidor o usuario conforme la normativa aplicable, sus derechos legales irrenunciables prevalecerán sobre cualquier estipulación incompatible.</w:t>
      </w:r>
    </w:p>
    <w:p>
      <w:pPr>
        <w:keepNext/>
        <w:spacing w:before="240" w:after="100"/>
        <w:pBdr>
          <w:bottom w:val="single" w:sz="8" w:space="1" w:color="2563EB"/>
        </w:pBdr>
      </w:pPr>
      <w:r>
        <w:rPr>
          <w:rFonts w:ascii="Aptos" w:hAnsi="Aptos"/>
          <w:b/>
          <w:i w:val="0"/>
          <w:color w:val="172554"/>
          <w:sz w:val="29"/>
        </w:rPr>
        <w:t>3. Alcance del Proyecto</w:t>
      </w:r>
    </w:p>
    <w:p>
      <w:pPr>
        <w:spacing w:after="80" w:line="257" w:lineRule="auto"/>
      </w:pPr>
      <w:r>
        <w:rPr>
          <w:rFonts w:ascii="Aptos" w:hAnsi="Aptos"/>
          <w:b w:val="0"/>
          <w:i w:val="0"/>
          <w:color w:val="0F172A"/>
          <w:sz w:val="20"/>
        </w:rPr>
        <w:t>El servicio contratado comprende exclusivamente las funciones, páginas, módulos, integraciones, entregables, límites y tareas indicados en la propuesta o presupuesto aceptado. Toda prestación no incluida de manera expresa se considera fuera del alcance original.</w:t>
      </w:r>
    </w:p>
    <w:p>
      <w:pPr>
        <w:pStyle w:val="ListBullet"/>
        <w:spacing w:after="40" w:line="250" w:lineRule="auto"/>
      </w:pPr>
      <w:r>
        <w:rPr>
          <w:rFonts w:ascii="Aptos" w:hAnsi="Aptos"/>
          <w:b w:val="0"/>
          <w:i w:val="0"/>
          <w:color w:val="0F172A"/>
          <w:sz w:val="20"/>
        </w:rPr>
        <w:t>Las características del Proyecto podrán definirse mediante textos, maquetas, prototipos, listas funcionales, diagramas, mensajes escritos u otros documentos aceptados por ambas partes.</w:t>
      </w:r>
    </w:p>
    <w:p>
      <w:pPr>
        <w:pStyle w:val="ListBullet"/>
        <w:spacing w:after="40" w:line="250" w:lineRule="auto"/>
      </w:pPr>
      <w:r>
        <w:rPr>
          <w:rFonts w:ascii="Aptos" w:hAnsi="Aptos"/>
          <w:b w:val="0"/>
          <w:i w:val="0"/>
          <w:color w:val="0F172A"/>
          <w:sz w:val="20"/>
        </w:rPr>
        <w:t>La omisión de una función en el alcance aprobado no obliga a Nevrano a implementarla sin cargo.</w:t>
      </w:r>
    </w:p>
    <w:p>
      <w:pPr>
        <w:pStyle w:val="ListBullet"/>
        <w:spacing w:after="40" w:line="250" w:lineRule="auto"/>
      </w:pPr>
      <w:r>
        <w:rPr>
          <w:rFonts w:ascii="Aptos" w:hAnsi="Aptos"/>
          <w:b w:val="0"/>
          <w:i w:val="0"/>
          <w:color w:val="0F172A"/>
          <w:sz w:val="20"/>
        </w:rPr>
        <w:t>Cuando un requisito resulte técnicamente inviable o genere un riesgo de seguridad, Nevrano podrá proponer una alternativa razonable.</w:t>
      </w:r>
    </w:p>
    <w:p>
      <w:pPr>
        <w:keepNext/>
        <w:spacing w:before="240" w:after="100"/>
        <w:pBdr>
          <w:bottom w:val="single" w:sz="8" w:space="1" w:color="2563EB"/>
        </w:pBdr>
      </w:pPr>
      <w:r>
        <w:rPr>
          <w:rFonts w:ascii="Aptos" w:hAnsi="Aptos"/>
          <w:b/>
          <w:i w:val="0"/>
          <w:color w:val="172554"/>
          <w:sz w:val="29"/>
        </w:rPr>
        <w:t>4. Precio, pagos y gastos de terceros</w:t>
      </w:r>
    </w:p>
    <w:p>
      <w:pPr>
        <w:spacing w:after="80" w:line="257" w:lineRule="auto"/>
      </w:pPr>
      <w:r>
        <w:rPr>
          <w:rFonts w:ascii="Aptos" w:hAnsi="Aptos"/>
          <w:b w:val="0"/>
          <w:i w:val="0"/>
          <w:color w:val="0F172A"/>
          <w:sz w:val="20"/>
        </w:rPr>
        <w:t>El precio del servicio será el indicado en la propuesta o presupuesto aceptado. La forma de pago, anticipos, hitos, vencimientos y moneda aplicable se regirán por dicha propuesta.</w:t>
      </w:r>
    </w:p>
    <w:p>
      <w:pPr>
        <w:pStyle w:val="ListBullet"/>
        <w:spacing w:after="40" w:line="250" w:lineRule="auto"/>
      </w:pPr>
      <w:r>
        <w:rPr>
          <w:rFonts w:ascii="Aptos" w:hAnsi="Aptos"/>
          <w:b w:val="0"/>
          <w:i w:val="0"/>
          <w:color w:val="0F172A"/>
          <w:sz w:val="20"/>
        </w:rPr>
        <w:t>Los cambios de alcance, funcionalidades adicionales, rediseños, migraciones, nuevas integraciones o tareas posteriores a la aprobación podrán requerir una cotización adicional.</w:t>
      </w:r>
    </w:p>
    <w:p>
      <w:pPr>
        <w:pStyle w:val="ListBullet"/>
        <w:spacing w:after="40" w:line="250" w:lineRule="auto"/>
      </w:pPr>
      <w:r>
        <w:rPr>
          <w:rFonts w:ascii="Aptos" w:hAnsi="Aptos"/>
          <w:b w:val="0"/>
          <w:i w:val="0"/>
          <w:color w:val="0F172A"/>
          <w:sz w:val="20"/>
        </w:rPr>
        <w:t>Los servicios de terceros necesarios para el funcionamiento del Proyecto —por ejemplo, dominio, alojamiento, almacenamiento, envío de correos, mensajería, procesamiento de pagos, servicios de inteligencia artificial, mapas, analítica, APIs u otros servicios externos— podrán tener costos propios y recurrentes.</w:t>
      </w:r>
    </w:p>
    <w:p>
      <w:pPr>
        <w:pStyle w:val="ListBullet"/>
        <w:spacing w:after="40" w:line="250" w:lineRule="auto"/>
      </w:pPr>
      <w:r>
        <w:rPr>
          <w:rFonts w:ascii="Aptos" w:hAnsi="Aptos"/>
          <w:b w:val="0"/>
          <w:i w:val="0"/>
          <w:color w:val="0F172A"/>
          <w:sz w:val="20"/>
        </w:rPr>
        <w:t>Salvo que la propuesta indique lo contrario, esos costos de terceros no integran el precio de desarrollo y serán asumidos por el Cliente.</w:t>
      </w:r>
    </w:p>
    <w:p>
      <w:pPr>
        <w:pStyle w:val="ListBullet"/>
        <w:spacing w:after="40" w:line="250" w:lineRule="auto"/>
      </w:pPr>
      <w:r>
        <w:rPr>
          <w:rFonts w:ascii="Aptos" w:hAnsi="Aptos"/>
          <w:b w:val="0"/>
          <w:i w:val="0"/>
          <w:color w:val="0F172A"/>
          <w:sz w:val="20"/>
        </w:rPr>
        <w:t>Nevrano no controla modificaciones de precios, condiciones comerciales, límites o disponibilidad decididas por proveedores externos.</w:t>
      </w:r>
    </w:p>
    <w:p>
      <w:pPr>
        <w:spacing w:after="80" w:line="257" w:lineRule="auto"/>
      </w:pPr>
      <w:r>
        <w:rPr>
          <w:rFonts w:ascii="Aptos" w:hAnsi="Aptos"/>
          <w:b w:val="0"/>
          <w:i w:val="0"/>
          <w:color w:val="0F172A"/>
          <w:sz w:val="20"/>
        </w:rPr>
        <w:t>Ninguna disposición sobre pagos se interpretará de forma que elimine derechos de revocación, restitución o reembolso que correspondan obligatoriamente al consumidor conforme la ley.</w:t>
      </w:r>
    </w:p>
    <w:p>
      <w:pPr>
        <w:spacing w:before="120" w:after="80"/>
      </w:pPr>
      <w:r>
        <w:rPr>
          <w:rFonts w:ascii="Aptos" w:hAnsi="Aptos"/>
          <w:b/>
          <w:i w:val="0"/>
          <w:color w:val="2563EB"/>
          <w:sz w:val="23"/>
        </w:rPr>
        <w:t>4.1. Anticipo, saldo y entrega definitiva</w:t>
      </w:r>
    </w:p>
    <w:p>
      <w:pPr>
        <w:spacing w:after="80" w:line="254" w:lineRule="auto"/>
      </w:pPr>
      <w:r>
        <w:rPr>
          <w:rFonts w:ascii="Aptos" w:hAnsi="Aptos"/>
          <w:b w:val="0"/>
          <w:i w:val="0"/>
          <w:color w:val="0F172A"/>
          <w:sz w:val="20"/>
        </w:rPr>
        <w:t>Para dar inicio al Proyecto, el Cliente deberá abonar un anticipo equivalente al veinticinco por ciento (25%) del precio total acordado, salvo que la propuesta o presupuesto particular establezca expresamente una modalidad diferente. El anticipo se imputará al precio total del Proyecto y no constituye un cargo adicional.</w:t>
      </w:r>
    </w:p>
    <w:p>
      <w:pPr>
        <w:spacing w:after="80" w:line="254" w:lineRule="auto"/>
      </w:pPr>
      <w:r>
        <w:rPr>
          <w:rFonts w:ascii="Aptos" w:hAnsi="Aptos"/>
          <w:b w:val="0"/>
          <w:i w:val="0"/>
          <w:color w:val="0F172A"/>
          <w:sz w:val="20"/>
        </w:rPr>
        <w:t>Una vez finalizado el desarrollo dentro del alcance contratado, Nevrano podrá poner a disposición del Cliente una versión de revisión, demostración o preentrega para que verifique el resultado y formule las observaciones que correspondan conforme a las revisiones incluidas.</w:t>
      </w:r>
    </w:p>
    <w:p>
      <w:pPr>
        <w:spacing w:after="80" w:line="254" w:lineRule="auto"/>
      </w:pPr>
      <w:r>
        <w:rPr>
          <w:rFonts w:ascii="Aptos" w:hAnsi="Aptos"/>
          <w:b w:val="0"/>
          <w:i w:val="0"/>
          <w:color w:val="0F172A"/>
          <w:sz w:val="20"/>
        </w:rPr>
        <w:t>Aprobado el resultado final, el Cliente deberá abonar el setenta y cinco por ciento (75%) restante. La entrega definitiva del Proyecto se realizará una vez acreditado el pago total del cien por ciento (100%) del precio acordado.</w:t>
      </w:r>
    </w:p>
    <w:p>
      <w:pPr>
        <w:spacing w:after="80" w:line="254" w:lineRule="auto"/>
      </w:pPr>
      <w:r>
        <w:rPr>
          <w:rFonts w:ascii="Aptos" w:hAnsi="Aptos"/>
          <w:b w:val="0"/>
          <w:i w:val="0"/>
          <w:color w:val="0F172A"/>
          <w:sz w:val="20"/>
        </w:rPr>
        <w:t>A los fines de estos Términos, la entrega definitiva podrá comprender, según el alcance contratado, la publicación final en producción, la transferencia o habilitación de accesos administrativos, credenciales, archivos, código, sistemas, bases de datos, configuraciones, documentación y demás elementos previstos en la propuesta. La puesta a disposición de una vista previa o versión de demostración no constituye por sí sola entrega definitiva ni transferencia total del control del Proyecto.</w:t>
      </w:r>
    </w:p>
    <w:p>
      <w:pPr>
        <w:spacing w:after="80" w:line="254" w:lineRule="auto"/>
      </w:pPr>
      <w:r>
        <w:rPr>
          <w:rFonts w:ascii="Aptos" w:hAnsi="Aptos"/>
          <w:b w:val="0"/>
          <w:i w:val="0"/>
          <w:color w:val="0F172A"/>
          <w:sz w:val="20"/>
        </w:rPr>
        <w:t>Si la propuesta o presupuesto particular establece un esquema de pagos diferente, prevalecerá dicho esquema para ese Proyecto, siempre con respeto de las normas imperativas aplicables.</w:t>
      </w:r>
    </w:p>
    <w:p>
      <w:pPr>
        <w:spacing w:before="120" w:after="80"/>
      </w:pPr>
      <w:r>
        <w:rPr>
          <w:rFonts w:ascii="Aptos" w:hAnsi="Aptos"/>
          <w:b/>
          <w:i w:val="0"/>
          <w:color w:val="2563EB"/>
          <w:sz w:val="23"/>
        </w:rPr>
        <w:t>4.2. Pago en cuotas</w:t>
      </w:r>
    </w:p>
    <w:p>
      <w:pPr>
        <w:spacing w:after="80" w:line="254" w:lineRule="auto"/>
      </w:pPr>
      <w:r>
        <w:rPr>
          <w:rFonts w:ascii="Aptos" w:hAnsi="Aptos"/>
          <w:b w:val="0"/>
          <w:i w:val="0"/>
          <w:color w:val="0F172A"/>
          <w:sz w:val="20"/>
        </w:rPr>
        <w:t>Nevrano podrá aceptar, a su exclusivo acuerdo con el Cliente y para un Proyecto determinado, que el saldo restante sea abonado en cuotas. La cantidad de cuotas, sus importes, fechas de vencimiento, moneda, medios de pago y, en su caso, intereses, gastos de financiación o comisiones deberán quedar informados y aceptados por escrito antes de aplicar dicha modalidad.</w:t>
      </w:r>
    </w:p>
    <w:p>
      <w:pPr>
        <w:spacing w:after="80" w:line="254" w:lineRule="auto"/>
      </w:pPr>
      <w:r>
        <w:rPr>
          <w:rFonts w:ascii="Aptos" w:hAnsi="Aptos"/>
          <w:b w:val="0"/>
          <w:i w:val="0"/>
          <w:color w:val="0F172A"/>
          <w:sz w:val="20"/>
        </w:rPr>
        <w:t>Salvo acuerdo particular distinto, el anticipo inicial del veinticinco por ciento (25%) continuará siendo exigible para iniciar el Proyecto y el setenta y cinco por ciento (75%) restante podrá dividirse en las cuotas expresamente acordadas.</w:t>
      </w:r>
    </w:p>
    <w:p>
      <w:pPr>
        <w:spacing w:after="80" w:line="254" w:lineRule="auto"/>
      </w:pPr>
      <w:r>
        <w:rPr>
          <w:rFonts w:ascii="Aptos" w:hAnsi="Aptos"/>
          <w:b w:val="0"/>
          <w:i w:val="0"/>
          <w:color w:val="0F172A"/>
          <w:sz w:val="20"/>
        </w:rPr>
        <w:t>El incumplimiento de una cuota vencida podrá habilitar a Nevrano, previa comunicación razonable cuando corresponda, a pausar temporalmente el desarrollo, las tareas no críticas, la publicación o la entrega definitiva hasta la regularización del pago, sin perjuicio de los derechos obligatorios que pudieran corresponder al Cliente.</w:t>
      </w:r>
    </w:p>
    <w:p>
      <w:pPr>
        <w:spacing w:after="80" w:line="254" w:lineRule="auto"/>
      </w:pPr>
      <w:r>
        <w:rPr>
          <w:rFonts w:ascii="Aptos" w:hAnsi="Aptos"/>
          <w:b w:val="0"/>
          <w:i w:val="0"/>
          <w:color w:val="0F172A"/>
          <w:sz w:val="20"/>
        </w:rPr>
        <w:t>La existencia de un plan de cuotas no implica la entrega definitiva anticipada. Salvo acuerdo expreso en contrario, la transferencia final de los elementos comprendidos en la entrega definitiva se efectuará una vez acreditado el pago total del Proyecto.</w:t>
      </w:r>
    </w:p>
    <w:p>
      <w:pPr>
        <w:keepNext/>
        <w:spacing w:before="240" w:after="100"/>
        <w:pBdr>
          <w:bottom w:val="single" w:sz="8" w:space="1" w:color="2563EB"/>
        </w:pBdr>
      </w:pPr>
      <w:r>
        <w:rPr>
          <w:rFonts w:ascii="Aptos" w:hAnsi="Aptos"/>
          <w:b/>
          <w:i w:val="0"/>
          <w:color w:val="172554"/>
          <w:sz w:val="29"/>
        </w:rPr>
        <w:t>5. Inicio, plazos y colaboración del Cliente</w:t>
      </w:r>
    </w:p>
    <w:p>
      <w:pPr>
        <w:spacing w:after="80" w:line="257" w:lineRule="auto"/>
      </w:pPr>
      <w:r>
        <w:rPr>
          <w:rFonts w:ascii="Aptos" w:hAnsi="Aptos"/>
          <w:b w:val="0"/>
          <w:i w:val="0"/>
          <w:color w:val="0F172A"/>
          <w:sz w:val="20"/>
        </w:rPr>
        <w:t>Los plazos de ejecución comenzarán una vez cumplidas las condiciones previstas en la propuesta, incluyendo, cuando corresponda, el pago inicial y la entrega de información, contenidos y accesos necesarios. Las fechas estimadas pueden modificarse por causas razonables vinculadas al alcance, revisiones, demoras del Cliente o dependencias externas.</w:t>
      </w:r>
    </w:p>
    <w:p>
      <w:pPr>
        <w:pStyle w:val="ListBullet"/>
        <w:spacing w:after="40" w:line="250" w:lineRule="auto"/>
      </w:pPr>
      <w:r>
        <w:rPr>
          <w:rFonts w:ascii="Aptos" w:hAnsi="Aptos"/>
          <w:b w:val="0"/>
          <w:i w:val="0"/>
          <w:color w:val="0F172A"/>
          <w:sz w:val="20"/>
        </w:rPr>
        <w:t>El Cliente se compromete a responder solicitudes de información, revisión y aprobación dentro de plazos razonables.</w:t>
      </w:r>
    </w:p>
    <w:p>
      <w:pPr>
        <w:pStyle w:val="ListBullet"/>
        <w:spacing w:after="40" w:line="250" w:lineRule="auto"/>
      </w:pPr>
      <w:r>
        <w:rPr>
          <w:rFonts w:ascii="Aptos" w:hAnsi="Aptos"/>
          <w:b w:val="0"/>
          <w:i w:val="0"/>
          <w:color w:val="0F172A"/>
          <w:sz w:val="20"/>
        </w:rPr>
        <w:t>Las demoras imputables al Cliente podrán desplazar proporcionalmente el cronograma.</w:t>
      </w:r>
    </w:p>
    <w:p>
      <w:pPr>
        <w:pStyle w:val="ListBullet"/>
        <w:spacing w:after="40" w:line="250" w:lineRule="auto"/>
      </w:pPr>
      <w:r>
        <w:rPr>
          <w:rFonts w:ascii="Aptos" w:hAnsi="Aptos"/>
          <w:b w:val="0"/>
          <w:i w:val="0"/>
          <w:color w:val="0F172A"/>
          <w:sz w:val="20"/>
        </w:rPr>
        <w:t>Un cambio sustancial de alcance puede requerir un nuevo plazo y presupuesto.</w:t>
      </w:r>
    </w:p>
    <w:p>
      <w:pPr>
        <w:pStyle w:val="ListBullet"/>
        <w:spacing w:after="40" w:line="250" w:lineRule="auto"/>
      </w:pPr>
      <w:r>
        <w:rPr>
          <w:rFonts w:ascii="Aptos" w:hAnsi="Aptos"/>
          <w:b w:val="0"/>
          <w:i w:val="0"/>
          <w:color w:val="0F172A"/>
          <w:sz w:val="20"/>
        </w:rPr>
        <w:t>Nevrano comunicará los retrasos relevantes que conozca y procurará establecer una nueva fecha razonable.</w:t>
      </w:r>
    </w:p>
    <w:p>
      <w:pPr>
        <w:keepNext/>
        <w:spacing w:before="240" w:after="100"/>
        <w:pBdr>
          <w:bottom w:val="single" w:sz="8" w:space="1" w:color="2563EB"/>
        </w:pBdr>
      </w:pPr>
      <w:r>
        <w:rPr>
          <w:rFonts w:ascii="Aptos" w:hAnsi="Aptos"/>
          <w:b/>
          <w:i w:val="0"/>
          <w:color w:val="172554"/>
          <w:sz w:val="29"/>
        </w:rPr>
        <w:t>6. Contenido, información y materiales</w:t>
      </w:r>
    </w:p>
    <w:p>
      <w:pPr>
        <w:spacing w:after="80" w:line="257" w:lineRule="auto"/>
      </w:pPr>
      <w:r>
        <w:rPr>
          <w:rFonts w:ascii="Aptos" w:hAnsi="Aptos"/>
          <w:b w:val="0"/>
          <w:i w:val="0"/>
          <w:color w:val="0F172A"/>
          <w:sz w:val="20"/>
        </w:rPr>
        <w:t>El Cliente es responsable de la exactitud, legitimidad y actualización de los textos, fotografías, videos, logotipos, marcas, precios, productos, promociones, documentos y demás materiales que entregue para su incorporación al Proyecto.</w:t>
      </w:r>
    </w:p>
    <w:p>
      <w:pPr>
        <w:pStyle w:val="ListBullet"/>
        <w:spacing w:after="40" w:line="250" w:lineRule="auto"/>
      </w:pPr>
      <w:r>
        <w:rPr>
          <w:rFonts w:ascii="Aptos" w:hAnsi="Aptos"/>
          <w:b w:val="0"/>
          <w:i w:val="0"/>
          <w:color w:val="0F172A"/>
          <w:sz w:val="20"/>
        </w:rPr>
        <w:t>El Cliente declara contar con los derechos, permisos o licencias necesarios para utilizar los materiales que entrega.</w:t>
      </w:r>
    </w:p>
    <w:p>
      <w:pPr>
        <w:pStyle w:val="ListBullet"/>
        <w:spacing w:after="40" w:line="250" w:lineRule="auto"/>
      </w:pPr>
      <w:r>
        <w:rPr>
          <w:rFonts w:ascii="Aptos" w:hAnsi="Aptos"/>
          <w:b w:val="0"/>
          <w:i w:val="0"/>
          <w:color w:val="0F172A"/>
          <w:sz w:val="20"/>
        </w:rPr>
        <w:t>Nevrano podrá rechazar contenido manifiestamente ilícito, engañoso, discriminatorio, infractor de derechos de terceros o incompatible con la finalidad lícita del servicio.</w:t>
      </w:r>
    </w:p>
    <w:p>
      <w:pPr>
        <w:pStyle w:val="ListBullet"/>
        <w:spacing w:after="40" w:line="250" w:lineRule="auto"/>
      </w:pPr>
      <w:r>
        <w:rPr>
          <w:rFonts w:ascii="Aptos" w:hAnsi="Aptos"/>
          <w:b w:val="0"/>
          <w:i w:val="0"/>
          <w:color w:val="0F172A"/>
          <w:sz w:val="20"/>
        </w:rPr>
        <w:t>Cuando Nevrano incorpore recursos de terceros por su propia iniciativa, procurará utilizar materiales con permisos o licencias compatibles con el uso previsto.</w:t>
      </w:r>
    </w:p>
    <w:p>
      <w:pPr>
        <w:pStyle w:val="ListBullet"/>
        <w:spacing w:after="40" w:line="250" w:lineRule="auto"/>
      </w:pPr>
      <w:r>
        <w:rPr>
          <w:rFonts w:ascii="Aptos" w:hAnsi="Aptos"/>
          <w:b w:val="0"/>
          <w:i w:val="0"/>
          <w:color w:val="0F172A"/>
          <w:sz w:val="20"/>
        </w:rPr>
        <w:t>Antes de la publicación, el Cliente deberá revisar y aprobar la información comercial relevante, incluyendo precios, promociones, condiciones de venta y datos de contacto.</w:t>
      </w:r>
    </w:p>
    <w:p>
      <w:pPr>
        <w:keepNext/>
        <w:spacing w:before="240" w:after="100"/>
        <w:pBdr>
          <w:bottom w:val="single" w:sz="8" w:space="1" w:color="2563EB"/>
        </w:pBdr>
      </w:pPr>
      <w:r>
        <w:rPr>
          <w:rFonts w:ascii="Aptos" w:hAnsi="Aptos"/>
          <w:b/>
          <w:i w:val="0"/>
          <w:color w:val="172554"/>
          <w:sz w:val="29"/>
        </w:rPr>
        <w:t>7. Revisiones y modificaciones</w:t>
      </w:r>
    </w:p>
    <w:p>
      <w:pPr>
        <w:spacing w:after="80" w:line="257" w:lineRule="auto"/>
      </w:pPr>
      <w:r>
        <w:rPr>
          <w:rFonts w:ascii="Aptos" w:hAnsi="Aptos"/>
          <w:b w:val="0"/>
          <w:i w:val="0"/>
          <w:color w:val="0F172A"/>
          <w:sz w:val="20"/>
        </w:rPr>
        <w:t>Las revisiones incluidas serán las previstas en la propuesta. Se considera revisión a un ajuste dentro del alcance aprobado y se considera cambio de alcance a la incorporación o modificación sustancial de funciones, estructura, integraciones, lógica o diseño previamente aprobados.</w:t>
      </w:r>
    </w:p>
    <w:p>
      <w:pPr>
        <w:pStyle w:val="ListBullet"/>
        <w:spacing w:after="40" w:line="250" w:lineRule="auto"/>
      </w:pPr>
      <w:r>
        <w:rPr>
          <w:rFonts w:ascii="Aptos" w:hAnsi="Aptos"/>
          <w:b w:val="0"/>
          <w:i w:val="0"/>
          <w:color w:val="0F172A"/>
          <w:sz w:val="20"/>
        </w:rPr>
        <w:t>Las correcciones necesarias para que una función incluida opere conforme a lo acordado no constituyen una mejora adicional.</w:t>
      </w:r>
    </w:p>
    <w:p>
      <w:pPr>
        <w:pStyle w:val="ListBullet"/>
        <w:spacing w:after="40" w:line="250" w:lineRule="auto"/>
      </w:pPr>
      <w:r>
        <w:rPr>
          <w:rFonts w:ascii="Aptos" w:hAnsi="Aptos"/>
          <w:b w:val="0"/>
          <w:i w:val="0"/>
          <w:color w:val="0F172A"/>
          <w:sz w:val="20"/>
        </w:rPr>
        <w:t>Los cambios solicitados después de una aprobación podrán afectar precio y plazo.</w:t>
      </w:r>
    </w:p>
    <w:p>
      <w:pPr>
        <w:pStyle w:val="ListBullet"/>
        <w:spacing w:after="40" w:line="250" w:lineRule="auto"/>
      </w:pPr>
      <w:r>
        <w:rPr>
          <w:rFonts w:ascii="Aptos" w:hAnsi="Aptos"/>
          <w:b w:val="0"/>
          <w:i w:val="0"/>
          <w:color w:val="0F172A"/>
          <w:sz w:val="20"/>
        </w:rPr>
        <w:t>Los pedidos y aprobaciones realizados por canales escritos acordados entre las partes podrán utilizarse como constancia del historial del Proyecto.</w:t>
      </w:r>
    </w:p>
    <w:p>
      <w:pPr>
        <w:keepNext/>
        <w:spacing w:before="240" w:after="100"/>
        <w:pBdr>
          <w:bottom w:val="single" w:sz="8" w:space="1" w:color="2563EB"/>
        </w:pBdr>
      </w:pPr>
      <w:r>
        <w:rPr>
          <w:rFonts w:ascii="Aptos" w:hAnsi="Aptos"/>
          <w:b/>
          <w:i w:val="0"/>
          <w:color w:val="172554"/>
          <w:sz w:val="29"/>
        </w:rPr>
        <w:t>8. Desarrollo, arquitectura y base de datos</w:t>
      </w:r>
    </w:p>
    <w:p>
      <w:pPr>
        <w:spacing w:after="80" w:line="257" w:lineRule="auto"/>
      </w:pPr>
      <w:r>
        <w:rPr>
          <w:rFonts w:ascii="Aptos" w:hAnsi="Aptos"/>
          <w:b w:val="0"/>
          <w:i w:val="0"/>
          <w:color w:val="0F172A"/>
          <w:sz w:val="20"/>
        </w:rPr>
        <w:t>Cuando el Proyecto requiera almacenamiento persistente de información, Nevrano podrá implementar una base de datos y los mecanismos técnicos necesarios para crear, consultar, modificar y eliminar registros conforme al alcance contratado.</w:t>
      </w:r>
    </w:p>
    <w:p>
      <w:pPr>
        <w:pStyle w:val="ListBullet"/>
        <w:spacing w:after="40" w:line="250" w:lineRule="auto"/>
      </w:pPr>
      <w:r>
        <w:rPr>
          <w:rFonts w:ascii="Aptos" w:hAnsi="Aptos"/>
          <w:b w:val="0"/>
          <w:i w:val="0"/>
          <w:color w:val="0F172A"/>
          <w:sz w:val="20"/>
        </w:rPr>
        <w:t>La estructura de datos, permisos y flujos de acceso se diseñarán según las funciones previstas para cada tipo de usuario.</w:t>
      </w:r>
    </w:p>
    <w:p>
      <w:pPr>
        <w:pStyle w:val="ListBullet"/>
        <w:spacing w:after="40" w:line="250" w:lineRule="auto"/>
      </w:pPr>
      <w:r>
        <w:rPr>
          <w:rFonts w:ascii="Aptos" w:hAnsi="Aptos"/>
          <w:b w:val="0"/>
          <w:i w:val="0"/>
          <w:color w:val="0F172A"/>
          <w:sz w:val="20"/>
        </w:rPr>
        <w:t>Cuando exista autenticación, las funciones sensibles deberán quedar sujetas a controles de autorización adecuados al alcance del Proyecto.</w:t>
      </w:r>
    </w:p>
    <w:p>
      <w:pPr>
        <w:pStyle w:val="ListBullet"/>
        <w:spacing w:after="40" w:line="250" w:lineRule="auto"/>
      </w:pPr>
      <w:r>
        <w:rPr>
          <w:rFonts w:ascii="Aptos" w:hAnsi="Aptos"/>
          <w:b w:val="0"/>
          <w:i w:val="0"/>
          <w:color w:val="0F172A"/>
          <w:sz w:val="20"/>
        </w:rPr>
        <w:t>La existencia de una interfaz visible u oculta no sustituye los controles técnicos de acceso cuando éstos sean necesarios.</w:t>
      </w:r>
    </w:p>
    <w:p>
      <w:pPr>
        <w:pStyle w:val="ListBullet"/>
        <w:spacing w:after="40" w:line="250" w:lineRule="auto"/>
      </w:pPr>
      <w:r>
        <w:rPr>
          <w:rFonts w:ascii="Aptos" w:hAnsi="Aptos"/>
          <w:b w:val="0"/>
          <w:i w:val="0"/>
          <w:color w:val="0F172A"/>
          <w:sz w:val="20"/>
        </w:rPr>
        <w:t>Las funcionalidades administrativas podrán requerir usuarios, roles, sesiones, registros de actividad y políticas de acceso específicas.</w:t>
      </w:r>
    </w:p>
    <w:p>
      <w:pPr>
        <w:keepNext/>
        <w:spacing w:before="240" w:after="100"/>
        <w:pBdr>
          <w:bottom w:val="single" w:sz="8" w:space="1" w:color="2563EB"/>
        </w:pBdr>
      </w:pPr>
      <w:r>
        <w:rPr>
          <w:rFonts w:ascii="Aptos" w:hAnsi="Aptos"/>
          <w:b/>
          <w:i w:val="0"/>
          <w:color w:val="172554"/>
          <w:sz w:val="29"/>
        </w:rPr>
        <w:t>9. Seguridad</w:t>
      </w:r>
    </w:p>
    <w:p>
      <w:pPr>
        <w:spacing w:after="80" w:line="257" w:lineRule="auto"/>
      </w:pPr>
      <w:r>
        <w:rPr>
          <w:rFonts w:ascii="Aptos" w:hAnsi="Aptos"/>
          <w:b w:val="0"/>
          <w:i w:val="0"/>
          <w:color w:val="0F172A"/>
          <w:sz w:val="20"/>
        </w:rPr>
        <w:t>Nevrano adoptará medidas técnicas razonables y proporcionales a la naturaleza del Proyecto. No obstante, ningún sistema conectado a Internet puede garantizarse como absolutamente invulnerable, libre de fallas o inmune a ataques, errores de terceros o nuevas vulnerabilidades.</w:t>
      </w:r>
    </w:p>
    <w:p>
      <w:pPr>
        <w:pStyle w:val="ListBullet"/>
        <w:spacing w:after="40" w:line="250" w:lineRule="auto"/>
      </w:pPr>
      <w:r>
        <w:rPr>
          <w:rFonts w:ascii="Aptos" w:hAnsi="Aptos"/>
          <w:b w:val="0"/>
          <w:i w:val="0"/>
          <w:color w:val="0F172A"/>
          <w:sz w:val="20"/>
        </w:rPr>
        <w:t>El Cliente debe resguardar sus credenciales, dispositivos, cuentas administrativas y mecanismos de recuperación.</w:t>
      </w:r>
    </w:p>
    <w:p>
      <w:pPr>
        <w:pStyle w:val="ListBullet"/>
        <w:spacing w:after="40" w:line="250" w:lineRule="auto"/>
      </w:pPr>
      <w:r>
        <w:rPr>
          <w:rFonts w:ascii="Aptos" w:hAnsi="Aptos"/>
          <w:b w:val="0"/>
          <w:i w:val="0"/>
          <w:color w:val="0F172A"/>
          <w:sz w:val="20"/>
        </w:rPr>
        <w:t>Las credenciales privadas y secretos técnicos no deben publicarse ni compartirse por canales inseguros.</w:t>
      </w:r>
    </w:p>
    <w:p>
      <w:pPr>
        <w:pStyle w:val="ListBullet"/>
        <w:spacing w:after="40" w:line="250" w:lineRule="auto"/>
      </w:pPr>
      <w:r>
        <w:rPr>
          <w:rFonts w:ascii="Aptos" w:hAnsi="Aptos"/>
          <w:b w:val="0"/>
          <w:i w:val="0"/>
          <w:color w:val="0F172A"/>
          <w:sz w:val="20"/>
        </w:rPr>
        <w:t>Nevrano podrá recomendar cambios de contraseña, revocación de accesos, activación de autenticación adicional u otras medidas cuando detecte un riesgo razonable.</w:t>
      </w:r>
    </w:p>
    <w:p>
      <w:pPr>
        <w:pStyle w:val="ListBullet"/>
        <w:spacing w:after="40" w:line="250" w:lineRule="auto"/>
      </w:pPr>
      <w:r>
        <w:rPr>
          <w:rFonts w:ascii="Aptos" w:hAnsi="Aptos"/>
          <w:b w:val="0"/>
          <w:i w:val="0"/>
          <w:color w:val="0F172A"/>
          <w:sz w:val="20"/>
        </w:rPr>
        <w:t>Si el Cliente modifica configuraciones críticas por sí mismo o mediante terceros, deberá informar esa circunstancia al solicitar soporte.</w:t>
      </w:r>
    </w:p>
    <w:p>
      <w:pPr>
        <w:spacing w:after="80" w:line="257" w:lineRule="auto"/>
      </w:pPr>
      <w:r>
        <w:rPr>
          <w:rFonts w:ascii="Aptos" w:hAnsi="Aptos"/>
          <w:b w:val="0"/>
          <w:i w:val="0"/>
          <w:color w:val="0F172A"/>
          <w:sz w:val="20"/>
        </w:rPr>
        <w:t>La presente cláusula no limita la responsabilidad que legalmente corresponda por incumplimientos, defectos del servicio, dolo, culpa grave ni otros supuestos que no puedan excluirse por acuerdo.</w:t>
      </w:r>
    </w:p>
    <w:p>
      <w:pPr>
        <w:keepNext/>
        <w:spacing w:before="240" w:after="100"/>
        <w:pBdr>
          <w:bottom w:val="single" w:sz="8" w:space="1" w:color="2563EB"/>
        </w:pBdr>
      </w:pPr>
      <w:r>
        <w:rPr>
          <w:rFonts w:ascii="Aptos" w:hAnsi="Aptos"/>
          <w:b/>
          <w:i w:val="0"/>
          <w:color w:val="172554"/>
          <w:sz w:val="29"/>
        </w:rPr>
        <w:t>10. Datos personales y privacidad</w:t>
      </w:r>
    </w:p>
    <w:p>
      <w:pPr>
        <w:spacing w:after="80" w:line="257" w:lineRule="auto"/>
      </w:pPr>
      <w:r>
        <w:rPr>
          <w:rFonts w:ascii="Aptos" w:hAnsi="Aptos"/>
          <w:b w:val="0"/>
          <w:i w:val="0"/>
          <w:color w:val="0F172A"/>
          <w:sz w:val="20"/>
        </w:rPr>
        <w:t>Cuando el Proyecto procese datos personales, su tratamiento deberá respetar la normativa aplicable. El Cliente deberá informar qué datos desea recolectar, con qué finalidad y quiénes necesitarán acceder a ellos. Nevrano procurará implementar los controles técnicos que hayan sido acordados para permitir un tratamiento coherente con esas instrucciones.</w:t>
      </w:r>
    </w:p>
    <w:p>
      <w:pPr>
        <w:pStyle w:val="ListBullet"/>
        <w:spacing w:after="40" w:line="250" w:lineRule="auto"/>
      </w:pPr>
      <w:r>
        <w:rPr>
          <w:rFonts w:ascii="Aptos" w:hAnsi="Aptos"/>
          <w:b w:val="0"/>
          <w:i w:val="0"/>
          <w:color w:val="0F172A"/>
          <w:sz w:val="20"/>
        </w:rPr>
        <w:t>Los datos personales deberán ser adecuados, pertinentes y no excesivos respecto de la finalidad para la cual se recolectan.</w:t>
      </w:r>
    </w:p>
    <w:p>
      <w:pPr>
        <w:pStyle w:val="ListBullet"/>
        <w:spacing w:after="40" w:line="250" w:lineRule="auto"/>
      </w:pPr>
      <w:r>
        <w:rPr>
          <w:rFonts w:ascii="Aptos" w:hAnsi="Aptos"/>
          <w:b w:val="0"/>
          <w:i w:val="0"/>
          <w:color w:val="0F172A"/>
          <w:sz w:val="20"/>
        </w:rPr>
        <w:t>El Cliente será responsable de determinar la base jurídica, consentimiento, avisos de privacidad y demás obligaciones que correspondan a su propia actividad, sin perjuicio de las obligaciones técnicas o contractuales asumidas por Nevrano.</w:t>
      </w:r>
    </w:p>
    <w:p>
      <w:pPr>
        <w:pStyle w:val="ListBullet"/>
        <w:spacing w:after="40" w:line="250" w:lineRule="auto"/>
      </w:pPr>
      <w:r>
        <w:rPr>
          <w:rFonts w:ascii="Aptos" w:hAnsi="Aptos"/>
          <w:b w:val="0"/>
          <w:i w:val="0"/>
          <w:color w:val="0F172A"/>
          <w:sz w:val="20"/>
        </w:rPr>
        <w:t>Si el Proyecto trata datos sensibles, de salud, de menores o información sometida a regulación especial, el Cliente deberá comunicarlo antes del desarrollo o inmediatamente al advertirlo.</w:t>
      </w:r>
    </w:p>
    <w:p>
      <w:pPr>
        <w:pStyle w:val="ListBullet"/>
        <w:spacing w:after="40" w:line="250" w:lineRule="auto"/>
      </w:pPr>
      <w:r>
        <w:rPr>
          <w:rFonts w:ascii="Aptos" w:hAnsi="Aptos"/>
          <w:b w:val="0"/>
          <w:i w:val="0"/>
          <w:color w:val="0F172A"/>
          <w:sz w:val="20"/>
        </w:rPr>
        <w:t>Cuando corresponda, deberán existir mecanismos para atender solicitudes de acceso, rectificación, actualización o supresión de datos.</w:t>
      </w:r>
    </w:p>
    <w:p>
      <w:pPr>
        <w:keepNext/>
        <w:spacing w:before="240" w:after="100"/>
        <w:pBdr>
          <w:bottom w:val="single" w:sz="8" w:space="1" w:color="2563EB"/>
        </w:pBdr>
      </w:pPr>
      <w:r>
        <w:rPr>
          <w:rFonts w:ascii="Aptos" w:hAnsi="Aptos"/>
          <w:b/>
          <w:i w:val="0"/>
          <w:color w:val="172554"/>
          <w:sz w:val="29"/>
        </w:rPr>
        <w:t>11. Servicios de terceros e integraciones</w:t>
      </w:r>
    </w:p>
    <w:p>
      <w:pPr>
        <w:spacing w:after="80" w:line="257" w:lineRule="auto"/>
      </w:pPr>
      <w:r>
        <w:rPr>
          <w:rFonts w:ascii="Aptos" w:hAnsi="Aptos"/>
          <w:b w:val="0"/>
          <w:i w:val="0"/>
          <w:color w:val="0F172A"/>
          <w:sz w:val="20"/>
        </w:rPr>
        <w:t>El Proyecto puede depender de proveedores externos de infraestructura, alojamiento, dominio, correo, almacenamiento, procesamiento de pagos, mensajería, mapas, analítica, bases de datos, automatización u otros servicios. Cada proveedor se rige por sus propios términos y condiciones.</w:t>
      </w:r>
    </w:p>
    <w:p>
      <w:pPr>
        <w:pStyle w:val="ListBullet"/>
        <w:spacing w:after="40" w:line="250" w:lineRule="auto"/>
      </w:pPr>
      <w:r>
        <w:rPr>
          <w:rFonts w:ascii="Aptos" w:hAnsi="Aptos"/>
          <w:b w:val="0"/>
          <w:i w:val="0"/>
          <w:color w:val="0F172A"/>
          <w:sz w:val="20"/>
        </w:rPr>
        <w:t>Nevrano no garantiza la continuidad absoluta de un servicio que no controla.</w:t>
      </w:r>
    </w:p>
    <w:p>
      <w:pPr>
        <w:pStyle w:val="ListBullet"/>
        <w:spacing w:after="40" w:line="250" w:lineRule="auto"/>
      </w:pPr>
      <w:r>
        <w:rPr>
          <w:rFonts w:ascii="Aptos" w:hAnsi="Aptos"/>
          <w:b w:val="0"/>
          <w:i w:val="0"/>
          <w:color w:val="0F172A"/>
          <w:sz w:val="20"/>
        </w:rPr>
        <w:t>Si un proveedor externo modifica o elimina una función, Nevrano podrá proponer ajustes, migraciones o alternativas que, según su complejidad, podrán cotizarse separadamente.</w:t>
      </w:r>
    </w:p>
    <w:p>
      <w:pPr>
        <w:pStyle w:val="ListBullet"/>
        <w:spacing w:after="40" w:line="250" w:lineRule="auto"/>
      </w:pPr>
      <w:r>
        <w:rPr>
          <w:rFonts w:ascii="Aptos" w:hAnsi="Aptos"/>
          <w:b w:val="0"/>
          <w:i w:val="0"/>
          <w:color w:val="0F172A"/>
          <w:sz w:val="20"/>
        </w:rPr>
        <w:t>Cuando un incidente se origine exclusivamente en un proveedor externo, Nevrano asistirá en el diagnóstico y gestión técnica dentro del alcance de soporte contratado.</w:t>
      </w:r>
    </w:p>
    <w:p>
      <w:pPr>
        <w:pStyle w:val="ListBullet"/>
        <w:spacing w:after="40" w:line="250" w:lineRule="auto"/>
      </w:pPr>
      <w:r>
        <w:rPr>
          <w:rFonts w:ascii="Aptos" w:hAnsi="Aptos"/>
          <w:b w:val="0"/>
          <w:i w:val="0"/>
          <w:color w:val="0F172A"/>
          <w:sz w:val="20"/>
        </w:rPr>
        <w:t>El Cliente acepta que determinadas integraciones pueden depender de cuotas, límites de uso, aprobaciones, disponibilidad regional o condiciones comerciales del proveedor correspondiente.</w:t>
      </w:r>
    </w:p>
    <w:p>
      <w:pPr>
        <w:keepNext/>
        <w:spacing w:before="240" w:after="100"/>
        <w:pBdr>
          <w:bottom w:val="single" w:sz="8" w:space="1" w:color="2563EB"/>
        </w:pBdr>
      </w:pPr>
      <w:r>
        <w:rPr>
          <w:rFonts w:ascii="Aptos" w:hAnsi="Aptos"/>
          <w:b/>
          <w:i w:val="0"/>
          <w:color w:val="172554"/>
          <w:sz w:val="29"/>
        </w:rPr>
        <w:t>12. Pagos en línea y operaciones económicas</w:t>
      </w:r>
    </w:p>
    <w:p>
      <w:pPr>
        <w:spacing w:after="80" w:line="257" w:lineRule="auto"/>
      </w:pPr>
      <w:r>
        <w:rPr>
          <w:rFonts w:ascii="Aptos" w:hAnsi="Aptos"/>
          <w:b w:val="0"/>
          <w:i w:val="0"/>
          <w:color w:val="0F172A"/>
          <w:sz w:val="20"/>
        </w:rPr>
        <w:t>Si el Proyecto incorpora pagos en línea, Nevrano integrará el flujo acordado con el proveedor de pagos seleccionado. El procesamiento financiero será efectuado por el prestador especializado correspondiente, conforme a sus condiciones.</w:t>
      </w:r>
    </w:p>
    <w:p>
      <w:pPr>
        <w:pStyle w:val="ListBullet"/>
        <w:spacing w:after="40" w:line="250" w:lineRule="auto"/>
      </w:pPr>
      <w:r>
        <w:rPr>
          <w:rFonts w:ascii="Aptos" w:hAnsi="Aptos"/>
          <w:b w:val="0"/>
          <w:i w:val="0"/>
          <w:color w:val="0F172A"/>
          <w:sz w:val="20"/>
        </w:rPr>
        <w:t>Las credenciales financieras sensibles no deberán almacenarse en la aplicación cuando puedan ser procesadas de forma segura por el proveedor de pagos.</w:t>
      </w:r>
    </w:p>
    <w:p>
      <w:pPr>
        <w:pStyle w:val="ListBullet"/>
        <w:spacing w:after="40" w:line="250" w:lineRule="auto"/>
      </w:pPr>
      <w:r>
        <w:rPr>
          <w:rFonts w:ascii="Aptos" w:hAnsi="Aptos"/>
          <w:b w:val="0"/>
          <w:i w:val="0"/>
          <w:color w:val="0F172A"/>
          <w:sz w:val="20"/>
        </w:rPr>
        <w:t>Los estados de pago deberán verificarse mediante mecanismos técnicos adecuados antes de ejecutar acciones críticas cuando el alcance así lo requiera.</w:t>
      </w:r>
    </w:p>
    <w:p>
      <w:pPr>
        <w:pStyle w:val="ListBullet"/>
        <w:spacing w:after="40" w:line="250" w:lineRule="auto"/>
      </w:pPr>
      <w:r>
        <w:rPr>
          <w:rFonts w:ascii="Aptos" w:hAnsi="Aptos"/>
          <w:b w:val="0"/>
          <w:i w:val="0"/>
          <w:color w:val="0F172A"/>
          <w:sz w:val="20"/>
        </w:rPr>
        <w:t>Contracargos, devoluciones, conciliaciones, impuestos y políticas comerciales del negocio corresponden al Cliente, salvo que una tarea concreta haya sido expresamente contratada a Nevrano.</w:t>
      </w:r>
    </w:p>
    <w:p>
      <w:pPr>
        <w:keepNext/>
        <w:spacing w:before="240" w:after="100"/>
        <w:pBdr>
          <w:bottom w:val="single" w:sz="8" w:space="1" w:color="2563EB"/>
        </w:pBdr>
      </w:pPr>
      <w:r>
        <w:rPr>
          <w:rFonts w:ascii="Aptos" w:hAnsi="Aptos"/>
          <w:b/>
          <w:i w:val="0"/>
          <w:color w:val="172554"/>
          <w:sz w:val="29"/>
        </w:rPr>
        <w:t>13. Cumplimiento comercial y defensa del consumidor</w:t>
      </w:r>
    </w:p>
    <w:p>
      <w:pPr>
        <w:spacing w:after="80" w:line="257" w:lineRule="auto"/>
      </w:pPr>
      <w:r>
        <w:rPr>
          <w:rFonts w:ascii="Aptos" w:hAnsi="Aptos"/>
          <w:b w:val="0"/>
          <w:i w:val="0"/>
          <w:color w:val="0F172A"/>
          <w:sz w:val="20"/>
        </w:rPr>
        <w:t>El Cliente que utilice el Proyecto para comercializar bienes o servicios frente a consumidores es responsable de cumplir las normas aplicables a su propia actividad, incluyendo deberes de información, precios, condiciones de contratación, garantías, atención de reclamos y demás obligaciones que correspondan.</w:t>
      </w:r>
    </w:p>
    <w:p>
      <w:pPr>
        <w:pStyle w:val="ListBullet"/>
        <w:spacing w:after="40" w:line="250" w:lineRule="auto"/>
      </w:pPr>
      <w:r>
        <w:rPr>
          <w:rFonts w:ascii="Aptos" w:hAnsi="Aptos"/>
          <w:b w:val="0"/>
          <w:i w:val="0"/>
          <w:color w:val="0F172A"/>
          <w:sz w:val="20"/>
        </w:rPr>
        <w:t>Nevrano responderá por las funciones técnicas que haya asumido expresamente, pero no reemplaza al Cliente en su calidad de proveedor frente a sus propios consumidores.</w:t>
      </w:r>
    </w:p>
    <w:p>
      <w:pPr>
        <w:pStyle w:val="ListBullet"/>
        <w:spacing w:after="40" w:line="250" w:lineRule="auto"/>
      </w:pPr>
      <w:r>
        <w:rPr>
          <w:rFonts w:ascii="Aptos" w:hAnsi="Aptos"/>
          <w:b w:val="0"/>
          <w:i w:val="0"/>
          <w:color w:val="0F172A"/>
          <w:sz w:val="20"/>
        </w:rPr>
        <w:t>Cuando la ley exija mecanismos específicos —por ejemplo, enlaces, formularios, botones o procedimientos de baja, arrepentimiento o reclamo— éstos deberán ser implementados en el Proyecto si forman parte del alcance acordado.</w:t>
      </w:r>
    </w:p>
    <w:p>
      <w:pPr>
        <w:pStyle w:val="ListBullet"/>
        <w:spacing w:after="40" w:line="250" w:lineRule="auto"/>
      </w:pPr>
      <w:r>
        <w:rPr>
          <w:rFonts w:ascii="Aptos" w:hAnsi="Aptos"/>
          <w:b w:val="0"/>
          <w:i w:val="0"/>
          <w:color w:val="0F172A"/>
          <w:sz w:val="20"/>
        </w:rPr>
        <w:t>El Cliente deberá informar a Nevrano si su actividad está sometida a una regulación especial que afecte el diseño o funcionamiento del Proyecto.</w:t>
      </w:r>
    </w:p>
    <w:p>
      <w:pPr>
        <w:keepNext/>
        <w:spacing w:before="240" w:after="100"/>
        <w:pBdr>
          <w:bottom w:val="single" w:sz="8" w:space="1" w:color="2563EB"/>
        </w:pBdr>
      </w:pPr>
      <w:r>
        <w:rPr>
          <w:rFonts w:ascii="Aptos" w:hAnsi="Aptos"/>
          <w:b/>
          <w:i w:val="0"/>
          <w:color w:val="172554"/>
          <w:sz w:val="29"/>
        </w:rPr>
        <w:t>14. Derecho legal de arrepentimiento del consumidor (cuando corresponda)</w:t>
      </w:r>
    </w:p>
    <w:p>
      <w:pPr>
        <w:spacing w:after="80" w:line="257" w:lineRule="auto"/>
      </w:pPr>
      <w:r>
        <w:rPr>
          <w:rFonts w:ascii="Aptos" w:hAnsi="Aptos"/>
          <w:b w:val="0"/>
          <w:i w:val="0"/>
          <w:color w:val="0F172A"/>
          <w:sz w:val="20"/>
        </w:rPr>
        <w:t>Este punto se aplica únicamente cuando la contratación entre Nevrano y el Cliente constituya legalmente una relación de consumo celebrada a distancia. No toda contratación realizada por internet, email, mensajería o medios electrónicos convierte automáticamente al Cliente en consumidor: la aplicación de este régimen dependerá de la finalidad de la contratación y de las normas vigentes en cada caso.</w:t>
      </w:r>
    </w:p>
    <w:p>
      <w:pPr>
        <w:spacing w:after="80" w:line="257" w:lineRule="auto"/>
      </w:pPr>
      <w:r>
        <w:rPr>
          <w:rFonts w:ascii="Aptos" w:hAnsi="Aptos"/>
          <w:b w:val="0"/>
          <w:i w:val="0"/>
          <w:color w:val="0F172A"/>
          <w:sz w:val="20"/>
        </w:rPr>
        <w:t>Cuando este derecho resulte aplicable, el consumidor podrá revocar su aceptación dentro del plazo legal correspondiente, actualmente previsto en diez (10) días desde la celebración del contrato, sujeto a las excepciones, modalidades especiales y reglas que establezca la normativa vigente. Este derecho es irrenunciable y Nevrano no exigirá una renuncia anticipada al mismo.</w:t>
      </w:r>
    </w:p>
    <w:p>
      <w:pPr/>
      <w:r>
        <w:t>Cuando corresponda legalmente, Nevrano pondrá a disposición los mecanismos de arrepentimiento, baja o revocación exigidos por la normativa aplicable.</w:t>
      </w:r>
    </w:p>
    <w:p>
      <w:pPr/>
      <w:r>
        <w:t>El derecho legal regulado en este punto es distinto de una cancelación voluntaria del Proyecto. Si el Cliente ejerce válidamente este derecho de arrepentimiento, sus efectos se regirán por la normativa imperativa aplicable y prevalecerán sobre la política de cancelaciones y reembolsos prevista en el punto 22.1.</w:t>
      </w:r>
    </w:p>
    <w:tbl>
      <w:tblPr>
        <w:tblW w:type="auto" w:w="0"/>
        <w:jc w:val="center"/>
        <w:tblLook w:firstColumn="1" w:firstRow="1" w:lastColumn="0" w:lastRow="0" w:noHBand="0" w:noVBand="1" w:val="04A0"/>
      </w:tblPr>
      <w:tblGrid>
        <w:gridCol w:w="10166"/>
      </w:tblGrid>
      <w:tr>
        <w:tc>
          <w:tcPr>
            <w:tcW w:type="dxa" w:w="10166"/>
            <w:shd w:fill="DCFCE7"/>
            <w:tcBorders>
              <w:top w:val="single" w:sz="4" w:color="CBD5E1"/>
              <w:left w:val="single" w:sz="4" w:color="CBD5E1"/>
              <w:bottom w:val="single" w:sz="4" w:color="CBD5E1"/>
              <w:right w:val="single" w:sz="4" w:color="CBD5E1"/>
            </w:tcBorders>
          </w:tcPr>
          <w:p>
            <w:pPr>
              <w:spacing w:after="0"/>
            </w:pPr>
            <w:r>
              <w:rPr>
                <w:rFonts w:ascii="Aptos" w:hAnsi="Aptos"/>
                <w:b/>
                <w:i w:val="0"/>
                <w:color w:val="15803D"/>
                <w:sz w:val="20"/>
              </w:rPr>
              <w:t>Reclamos de consumidores</w:t>
              <w:br/>
            </w:r>
            <w:r>
              <w:rPr>
                <w:rFonts w:ascii="Aptos" w:hAnsi="Aptos"/>
                <w:b w:val="0"/>
                <w:i w:val="0"/>
                <w:color w:val="334155"/>
                <w:sz w:val="18"/>
              </w:rPr>
              <w:t>Los consumidores también pueden iniciar reclamos a través de la Ventanilla Federal Única de Defensa del Consumidor: https://www.argentina.gob.ar/node/41160</w:t>
            </w:r>
          </w:p>
        </w:tc>
      </w:tr>
    </w:tbl>
    <w:p>
      <w:pPr>
        <w:spacing w:after="0"/>
      </w:pPr>
    </w:p>
    <CT_P/>
    <w:p>
      <w:pPr>
        <w:keepNext/>
        <w:spacing w:before="240" w:after="100"/>
        <w:pBdr>
          <w:bottom w:val="single" w:sz="8" w:space="1" w:color="2563EB"/>
        </w:pBdr>
      </w:pPr>
      <w:r>
        <w:rPr>
          <w:rFonts w:ascii="Aptos" w:hAnsi="Aptos"/>
          <w:b/>
          <w:i w:val="0"/>
          <w:color w:val="172554"/>
          <w:sz w:val="29"/>
        </w:rPr>
        <w:t>15. Entrega, pruebas y aceptación del Proyecto</w:t>
      </w:r>
    </w:p>
    <w:p>
      <w:pPr>
        <w:spacing w:after="80" w:line="257" w:lineRule="auto"/>
      </w:pPr>
      <w:r>
        <w:rPr>
          <w:rFonts w:ascii="Aptos" w:hAnsi="Aptos"/>
          <w:b w:val="0"/>
          <w:i w:val="0"/>
          <w:color w:val="0F172A"/>
          <w:sz w:val="20"/>
        </w:rPr>
        <w:t>Nevrano pondrá el Proyecto a disposición para revisión o entrega según lo acordado. El Cliente deberá realizar una revisión razonable y comunicar cualquier defecto o diferencia respecto del alcance aprobado.</w:t>
      </w:r>
    </w:p>
    <w:p>
      <w:pPr>
        <w:pStyle w:val="ListBullet"/>
        <w:spacing w:after="40" w:line="250" w:lineRule="auto"/>
      </w:pPr>
      <w:r>
        <w:rPr>
          <w:rFonts w:ascii="Aptos" w:hAnsi="Aptos"/>
          <w:b w:val="0"/>
          <w:i w:val="0"/>
          <w:color w:val="0F172A"/>
          <w:sz w:val="20"/>
        </w:rPr>
        <w:t>La aceptación puede constar mediante aprobación escrita, publicación autorizada, puesta en producción solicitada por el Cliente o uso normal del Proyecto luego de su entrega, sin perjuicio de defectos ocultos y derechos legales aplicables.</w:t>
      </w:r>
    </w:p>
    <w:p>
      <w:pPr>
        <w:pStyle w:val="ListBullet"/>
        <w:spacing w:after="40" w:line="250" w:lineRule="auto"/>
      </w:pPr>
      <w:r>
        <w:rPr>
          <w:rFonts w:ascii="Aptos" w:hAnsi="Aptos"/>
          <w:b w:val="0"/>
          <w:i w:val="0"/>
          <w:color w:val="0F172A"/>
          <w:sz w:val="20"/>
        </w:rPr>
        <w:t>La aprobación de contenido por el Cliente no convierte en defecto técnico un error de texto, precio o información que haya sido suministrado o aprobado por el propio Cliente.</w:t>
      </w:r>
    </w:p>
    <w:p>
      <w:pPr>
        <w:pStyle w:val="ListBullet"/>
        <w:spacing w:after="40" w:line="250" w:lineRule="auto"/>
      </w:pPr>
      <w:r>
        <w:rPr>
          <w:rFonts w:ascii="Aptos" w:hAnsi="Aptos"/>
          <w:b w:val="0"/>
          <w:i w:val="0"/>
          <w:color w:val="0F172A"/>
          <w:sz w:val="20"/>
        </w:rPr>
        <w:t>Antes de una publicación relevante, Nevrano podrá requerir una confirmación final respecto de diseño, funcionalidades, contenido y datos visibles al público.</w:t>
      </w:r>
    </w:p>
    <w:p>
      <w:pPr>
        <w:keepNext/>
        <w:spacing w:before="240" w:after="100"/>
        <w:pBdr>
          <w:bottom w:val="single" w:sz="8" w:space="1" w:color="2563EB"/>
        </w:pBdr>
      </w:pPr>
      <w:r>
        <w:rPr>
          <w:rFonts w:ascii="Aptos" w:hAnsi="Aptos"/>
          <w:b/>
          <w:i w:val="0"/>
          <w:color w:val="172554"/>
          <w:sz w:val="29"/>
        </w:rPr>
        <w:t>16. Garantía de corrección de defectos</w:t>
      </w:r>
    </w:p>
    <w:p>
      <w:pPr>
        <w:spacing w:after="80" w:line="257" w:lineRule="auto"/>
      </w:pPr>
      <w:r>
        <w:rPr>
          <w:rFonts w:ascii="Aptos" w:hAnsi="Aptos"/>
          <w:b w:val="0"/>
          <w:i w:val="0"/>
          <w:color w:val="0F172A"/>
          <w:sz w:val="20"/>
        </w:rPr>
        <w:t>Cuando la propuesta incluya un período de garantía, Nevrano corregirá los defectos reproducibles que impidan que una función incluida opere conforme al alcance acordado, siempre que el problema no haya sido causado por modificaciones ajenas, configuraciones alteradas, servicios externos, vencimientos, credenciales comprometidas o uso contrario a las instrucciones razonables.</w:t>
      </w:r>
    </w:p>
    <w:p>
      <w:pPr>
        <w:pStyle w:val="ListBullet"/>
        <w:spacing w:after="40" w:line="250" w:lineRule="auto"/>
      </w:pPr>
      <w:r>
        <w:rPr>
          <w:rFonts w:ascii="Aptos" w:hAnsi="Aptos"/>
          <w:b w:val="0"/>
          <w:i w:val="0"/>
          <w:color w:val="0F172A"/>
          <w:sz w:val="20"/>
        </w:rPr>
        <w:t>Una nueva función, rediseño, cambio de criterio o ampliación del alcance no se considera corrección de un defecto.</w:t>
      </w:r>
    </w:p>
    <w:p>
      <w:pPr>
        <w:pStyle w:val="ListBullet"/>
        <w:spacing w:after="40" w:line="250" w:lineRule="auto"/>
      </w:pPr>
      <w:r>
        <w:rPr>
          <w:rFonts w:ascii="Aptos" w:hAnsi="Aptos"/>
          <w:b w:val="0"/>
          <w:i w:val="0"/>
          <w:color w:val="0F172A"/>
          <w:sz w:val="20"/>
        </w:rPr>
        <w:t>Finalizado el período de garantía, las tareas de soporte podrán prestarse bajo un plan de mantenimiento o mediante cotización por incidencia.</w:t>
      </w:r>
    </w:p>
    <w:p>
      <w:pPr>
        <w:keepNext/>
        <w:spacing w:before="240" w:after="100"/>
        <w:pBdr>
          <w:bottom w:val="single" w:sz="8" w:space="1" w:color="2563EB"/>
        </w:pBdr>
      </w:pPr>
      <w:r>
        <w:rPr>
          <w:rFonts w:ascii="Aptos" w:hAnsi="Aptos"/>
          <w:b/>
          <w:i w:val="0"/>
          <w:color w:val="172554"/>
          <w:sz w:val="29"/>
        </w:rPr>
        <w:t>17. Mantenimiento y soporte</w:t>
      </w:r>
    </w:p>
    <w:p>
      <w:pPr>
        <w:spacing w:after="80" w:line="257" w:lineRule="auto"/>
      </w:pPr>
      <w:r>
        <w:rPr>
          <w:rFonts w:ascii="Aptos" w:hAnsi="Aptos"/>
          <w:b w:val="0"/>
          <w:i w:val="0"/>
          <w:color w:val="0F172A"/>
          <w:sz w:val="20"/>
        </w:rPr>
        <w:t>La entrega del Proyecto no implica mantenimiento indefinido. Los servicios de mantenimiento, monitoreo, actualizaciones, copias de seguridad, atención prioritaria o mejoras recurrentes deberán encontrarse incluidos en la propuesta o contratarse por separado.</w:t>
      </w:r>
    </w:p>
    <w:tbl>
      <w:tblPr>
        <w:tblStyle w:val="TableGrid"/>
        <w:tblW w:type="auto" w:w="0"/>
        <w:jc w:val="center"/>
        <w:tblLook w:firstColumn="1" w:firstRow="1" w:lastColumn="0" w:lastRow="0" w:noHBand="0" w:noVBand="1" w:val="04A0"/>
      </w:tblPr>
      <w:tblGrid>
        <w:gridCol w:w="5083"/>
        <w:gridCol w:w="5083"/>
      </w:tblGrid>
      <w:tr>
        <w:tc>
          <w:tcPr>
            <w:tcW w:type="dxa" w:w="2232"/>
            <w:shd w:fill="172554"/>
            <w:tcBorders>
              <w:top w:val="single" w:sz="4" w:color="CBD5E1"/>
              <w:left w:val="single" w:sz="4" w:color="CBD5E1"/>
              <w:bottom w:val="single" w:sz="4" w:color="CBD5E1"/>
              <w:right w:val="single" w:sz="4" w:color="CBD5E1"/>
            </w:tcBorders>
            <w:vAlign w:val="center"/>
          </w:tcPr>
          <w:p>
            <w:pPr>
              <w:jc w:val="center"/>
            </w:pPr>
            <w:r>
              <w:rPr>
                <w:rFonts w:ascii="Aptos" w:hAnsi="Aptos"/>
                <w:b/>
                <w:i w:val="0"/>
                <w:color w:val="FFFFFF"/>
                <w:sz w:val="17"/>
              </w:rPr>
              <w:t>Categoría</w:t>
            </w:r>
          </w:p>
        </w:tc>
        <w:tc>
          <w:tcPr>
            <w:tcW w:type="dxa" w:w="8640"/>
            <w:shd w:fill="172554"/>
            <w:tcBorders>
              <w:top w:val="single" w:sz="4" w:color="CBD5E1"/>
              <w:left w:val="single" w:sz="4" w:color="CBD5E1"/>
              <w:bottom w:val="single" w:sz="4" w:color="CBD5E1"/>
              <w:right w:val="single" w:sz="4" w:color="CBD5E1"/>
            </w:tcBorders>
            <w:vAlign w:val="center"/>
          </w:tcPr>
          <w:p>
            <w:pPr>
              <w:jc w:val="center"/>
            </w:pPr>
            <w:r>
              <w:rPr>
                <w:rFonts w:ascii="Aptos" w:hAnsi="Aptos"/>
                <w:b/>
                <w:i w:val="0"/>
                <w:color w:val="FFFFFF"/>
                <w:sz w:val="17"/>
              </w:rPr>
              <w:t>Descripción</w:t>
            </w:r>
          </w:p>
        </w:tc>
      </w:tr>
      <w:tr>
        <w:tc>
          <w:tcPr>
            <w:tcW w:type="dxa" w:w="2232"/>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7"/>
              </w:rPr>
              <w:t>Defecto</w:t>
            </w:r>
          </w:p>
        </w:tc>
        <w:tc>
          <w:tcPr>
            <w:tcW w:type="dxa" w:w="86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7"/>
              </w:rPr>
              <w:t>Una función incluida no se comporta conforme al alcance acordado.</w:t>
            </w:r>
          </w:p>
        </w:tc>
      </w:tr>
      <w:tr>
        <w:tc>
          <w:tcPr>
            <w:tcW w:type="dxa" w:w="2232"/>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7"/>
              </w:rPr>
              <w:t>Soporte</w:t>
            </w:r>
          </w:p>
        </w:tc>
        <w:tc>
          <w:tcPr>
            <w:tcW w:type="dxa" w:w="86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7"/>
              </w:rPr>
              <w:t>Asistencia para diagnosticar o resolver un incidente.</w:t>
            </w:r>
          </w:p>
        </w:tc>
      </w:tr>
      <w:tr>
        <w:tc>
          <w:tcPr>
            <w:tcW w:type="dxa" w:w="2232"/>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7"/>
              </w:rPr>
              <w:t>Mantenimiento</w:t>
            </w:r>
          </w:p>
        </w:tc>
        <w:tc>
          <w:tcPr>
            <w:tcW w:type="dxa" w:w="86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7"/>
              </w:rPr>
              <w:t>Tareas periódicas de actualización, monitoreo, revisión, backups o ajustes.</w:t>
            </w:r>
          </w:p>
        </w:tc>
      </w:tr>
      <w:tr>
        <w:tc>
          <w:tcPr>
            <w:tcW w:type="dxa" w:w="2232"/>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7"/>
              </w:rPr>
              <w:t>Mejora</w:t>
            </w:r>
          </w:p>
        </w:tc>
        <w:tc>
          <w:tcPr>
            <w:tcW w:type="dxa" w:w="86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7"/>
              </w:rPr>
              <w:t>Nueva función, módulo, integración, flujo, pantalla o rediseño.</w:t>
            </w:r>
          </w:p>
        </w:tc>
      </w:tr>
    </w:tbl>
    <w:p>
      <w:pPr>
        <w:spacing w:after="0"/>
      </w:pPr>
    </w:p>
    <w:p>
      <w:pPr>
        <w:keepNext/>
        <w:spacing w:before="240" w:after="100"/>
        <w:pBdr>
          <w:bottom w:val="single" w:sz="8" w:space="1" w:color="2563EB"/>
        </w:pBdr>
      </w:pPr>
      <w:r>
        <w:rPr>
          <w:rFonts w:ascii="Aptos" w:hAnsi="Aptos"/>
          <w:b/>
          <w:i w:val="0"/>
          <w:color w:val="172554"/>
          <w:sz w:val="29"/>
        </w:rPr>
        <w:t>18. Copias de seguridad y recuperación</w:t>
      </w:r>
    </w:p>
    <w:p>
      <w:pPr>
        <w:spacing w:after="80" w:line="257" w:lineRule="auto"/>
      </w:pPr>
      <w:r>
        <w:rPr>
          <w:rFonts w:ascii="Aptos" w:hAnsi="Aptos"/>
          <w:b w:val="0"/>
          <w:i w:val="0"/>
          <w:color w:val="0F172A"/>
          <w:sz w:val="20"/>
        </w:rPr>
        <w:t>Las copias de seguridad y su periodicidad dependerán de la solución contratada y de los servicios técnicos disponibles. No se presume la existencia de backups ilimitados ni de recuperación instantánea salvo que haya sido acordado expresamente.</w:t>
      </w:r>
    </w:p>
    <w:p>
      <w:pPr>
        <w:pStyle w:val="ListBullet"/>
        <w:spacing w:after="40" w:line="250" w:lineRule="auto"/>
      </w:pPr>
      <w:r>
        <w:rPr>
          <w:rFonts w:ascii="Aptos" w:hAnsi="Aptos"/>
          <w:b w:val="0"/>
          <w:i w:val="0"/>
          <w:color w:val="0F172A"/>
          <w:sz w:val="20"/>
        </w:rPr>
        <w:t>Cuando el Proyecto sea crítico, se recomienda que el servicio contratado contemple una política de backup y recuperación acorde al riesgo.</w:t>
      </w:r>
    </w:p>
    <w:p>
      <w:pPr>
        <w:pStyle w:val="ListBullet"/>
        <w:spacing w:after="40" w:line="250" w:lineRule="auto"/>
      </w:pPr>
      <w:r>
        <w:rPr>
          <w:rFonts w:ascii="Aptos" w:hAnsi="Aptos"/>
          <w:b w:val="0"/>
          <w:i w:val="0"/>
          <w:color w:val="0F172A"/>
          <w:sz w:val="20"/>
        </w:rPr>
        <w:t>La recuperación de información eliminada por el Cliente o por terceros podrá requerir trabajo adicional si no se encuentra comprendida en el plan vigente.</w:t>
      </w:r>
    </w:p>
    <w:p>
      <w:pPr>
        <w:pStyle w:val="ListBullet"/>
        <w:spacing w:after="40" w:line="250" w:lineRule="auto"/>
      </w:pPr>
      <w:r>
        <w:rPr>
          <w:rFonts w:ascii="Aptos" w:hAnsi="Aptos"/>
          <w:b w:val="0"/>
          <w:i w:val="0"/>
          <w:color w:val="0F172A"/>
          <w:sz w:val="20"/>
        </w:rPr>
        <w:t>La existencia de una copia de seguridad no garantiza que contenga el último cambio realizado antes del incidente.</w:t>
      </w:r>
    </w:p>
    <w:p>
      <w:pPr>
        <w:keepNext/>
        <w:spacing w:before="240" w:after="100"/>
        <w:pBdr>
          <w:bottom w:val="single" w:sz="8" w:space="1" w:color="2563EB"/>
        </w:pBdr>
      </w:pPr>
      <w:r>
        <w:rPr>
          <w:rFonts w:ascii="Aptos" w:hAnsi="Aptos"/>
          <w:b/>
          <w:i w:val="0"/>
          <w:color w:val="172554"/>
          <w:sz w:val="29"/>
        </w:rPr>
        <w:t>19. Disponibilidad del servicio</w:t>
      </w:r>
    </w:p>
    <w:p>
      <w:pPr>
        <w:spacing w:after="80" w:line="257" w:lineRule="auto"/>
      </w:pPr>
      <w:r>
        <w:rPr>
          <w:rFonts w:ascii="Aptos" w:hAnsi="Aptos"/>
          <w:b w:val="0"/>
          <w:i w:val="0"/>
          <w:color w:val="0F172A"/>
          <w:sz w:val="20"/>
        </w:rPr>
        <w:t>Nevrano procurará que los componentes bajo su control funcionen conforme a lo contratado. Sin embargo, la disponibilidad del Proyecto puede depender de conectividad, infraestructura, DNS, alojamiento, proveedores externos, mantenimiento programado, incidentes de seguridad o circunstancias fuera del control razonable de Nevrano.</w:t>
      </w:r>
    </w:p>
    <w:p>
      <w:pPr>
        <w:spacing w:after="80" w:line="257" w:lineRule="auto"/>
      </w:pPr>
      <w:r>
        <w:rPr>
          <w:rFonts w:ascii="Aptos" w:hAnsi="Aptos"/>
          <w:b w:val="0"/>
          <w:i w:val="0"/>
          <w:color w:val="0F172A"/>
          <w:sz w:val="20"/>
        </w:rPr>
        <w:t>Cualquier nivel de servicio o disponibilidad garantizada deberá constar expresamente en un acuerdo específico. Esta cláusula no autoriza a trasladar al consumidor consecuencias que legalmente correspondan al proveedor ni limita remedios legales obligatorios.</w:t>
      </w:r>
    </w:p>
    <w:p>
      <w:pPr>
        <w:keepNext/>
        <w:spacing w:before="240" w:after="100"/>
        <w:pBdr>
          <w:bottom w:val="single" w:sz="8" w:space="1" w:color="2563EB"/>
        </w:pBdr>
      </w:pPr>
      <w:r>
        <w:rPr>
          <w:rFonts w:ascii="Aptos" w:hAnsi="Aptos"/>
          <w:b/>
          <w:i w:val="0"/>
          <w:color w:val="172554"/>
          <w:sz w:val="29"/>
        </w:rPr>
        <w:t>20. Propiedad intelectual y titularidad</w:t>
      </w:r>
    </w:p>
    <w:p>
      <w:pPr>
        <w:spacing w:after="80" w:line="257" w:lineRule="auto"/>
      </w:pPr>
      <w:r>
        <w:rPr>
          <w:rFonts w:ascii="Aptos" w:hAnsi="Aptos"/>
          <w:b w:val="0"/>
          <w:i w:val="0"/>
          <w:color w:val="0F172A"/>
          <w:sz w:val="20"/>
        </w:rPr>
        <w:t>La titularidad y derechos de uso sobre el Proyecto se regirán por la propuesta particular. Una vez cumplidas las obligaciones de pago y entrega previstas, el Cliente recibirá los accesos, archivos, configuraciones y derechos expresamente acordados.</w:t>
      </w:r>
    </w:p>
    <w:p>
      <w:pPr>
        <w:pStyle w:val="ListBullet"/>
        <w:spacing w:after="40" w:line="250" w:lineRule="auto"/>
      </w:pPr>
      <w:r>
        <w:rPr>
          <w:rFonts w:ascii="Aptos" w:hAnsi="Aptos"/>
          <w:b w:val="0"/>
          <w:i w:val="0"/>
          <w:color w:val="0F172A"/>
          <w:sz w:val="20"/>
        </w:rPr>
        <w:t>Los derechos sobre marcas, logos, textos y materiales aportados por el Cliente permanecen en cabeza de sus respectivos titulares.</w:t>
      </w:r>
    </w:p>
    <w:p>
      <w:pPr>
        <w:pStyle w:val="ListBullet"/>
        <w:spacing w:after="40" w:line="250" w:lineRule="auto"/>
      </w:pPr>
      <w:r>
        <w:rPr>
          <w:rFonts w:ascii="Aptos" w:hAnsi="Aptos"/>
          <w:b w:val="0"/>
          <w:i w:val="0"/>
          <w:color w:val="0F172A"/>
          <w:sz w:val="20"/>
        </w:rPr>
        <w:t>Los componentes de terceros continúan sujetos a sus propias licencias.</w:t>
      </w:r>
    </w:p>
    <w:p>
      <w:pPr>
        <w:pStyle w:val="ListBullet"/>
        <w:spacing w:after="40" w:line="250" w:lineRule="auto"/>
      </w:pPr>
      <w:r>
        <w:rPr>
          <w:rFonts w:ascii="Aptos" w:hAnsi="Aptos"/>
          <w:b w:val="0"/>
          <w:i w:val="0"/>
          <w:color w:val="0F172A"/>
          <w:sz w:val="20"/>
        </w:rPr>
        <w:t>Nevrano conserva sus conocimientos generales, metodologías, estructuras reutilizables y herramientas internas que no hayan sido cedidas de manera expresa.</w:t>
      </w:r>
    </w:p>
    <w:p>
      <w:pPr>
        <w:pStyle w:val="ListBullet"/>
        <w:spacing w:after="40" w:line="250" w:lineRule="auto"/>
      </w:pPr>
      <w:r>
        <w:rPr>
          <w:rFonts w:ascii="Aptos" w:hAnsi="Aptos"/>
          <w:b w:val="0"/>
          <w:i w:val="0"/>
          <w:color w:val="0F172A"/>
          <w:sz w:val="20"/>
        </w:rPr>
        <w:t>La publicación del Proyecto en el portfolio de Nevrano requerirá autorización cuando el carácter privado o confidencial del trabajo así lo exija.</w:t>
      </w:r>
    </w:p>
    <w:p>
      <w:pPr>
        <w:keepNext/>
        <w:spacing w:before="240" w:after="100"/>
        <w:pBdr>
          <w:bottom w:val="single" w:sz="8" w:space="1" w:color="2563EB"/>
        </w:pBdr>
      </w:pPr>
      <w:r>
        <w:rPr>
          <w:rFonts w:ascii="Aptos" w:hAnsi="Aptos"/>
          <w:b/>
          <w:i w:val="0"/>
          <w:color w:val="172554"/>
          <w:sz w:val="29"/>
        </w:rPr>
        <w:t>21. Confidencialidad</w:t>
      </w:r>
    </w:p>
    <w:p>
      <w:pPr>
        <w:spacing w:after="80" w:line="257" w:lineRule="auto"/>
      </w:pPr>
      <w:r>
        <w:rPr>
          <w:rFonts w:ascii="Aptos" w:hAnsi="Aptos"/>
          <w:b w:val="0"/>
          <w:i w:val="0"/>
          <w:color w:val="0F172A"/>
          <w:sz w:val="20"/>
        </w:rPr>
        <w:t>Las partes deberán preservar la confidencialidad de credenciales, información interna, documentación no pública, bases privadas y secretos comerciales conocidos con motivo del Proyecto. La obligación no alcanza a información que sea pública, que haya sido obtenida legítimamente de otra fuente o cuya divulgación sea exigida por autoridad competente.</w:t>
      </w:r>
    </w:p>
    <w:p>
      <w:pPr>
        <w:keepNext/>
        <w:spacing w:before="240" w:after="100"/>
        <w:pBdr>
          <w:bottom w:val="single" w:sz="8" w:space="1" w:color="2563EB"/>
        </w:pBdr>
      </w:pPr>
      <w:r>
        <w:rPr>
          <w:rFonts w:ascii="Aptos" w:hAnsi="Aptos"/>
          <w:b/>
          <w:i w:val="0"/>
          <w:color w:val="172554"/>
          <w:sz w:val="29"/>
        </w:rPr>
        <w:t>22. Cancelación, suspensión y finalización</w:t>
      </w:r>
    </w:p>
    <w:p>
      <w:pPr>
        <w:spacing w:after="80" w:line="257" w:lineRule="auto"/>
      </w:pPr>
      <w:r>
        <w:rPr>
          <w:rFonts w:ascii="Aptos" w:hAnsi="Aptos"/>
          <w:b w:val="0"/>
          <w:i w:val="0"/>
          <w:color w:val="0F172A"/>
          <w:sz w:val="20"/>
        </w:rPr>
        <w:t>La cancelación del Proyecto deberá comunicarse por un medio escrito o electrónico que permita conservar constancia. En caso de finalización anticipada, las partes liquidarán las prestaciones efectivamente realizadas y los gastos no recuperables, respetando siempre los derechos irrenunciables que correspondan a un consumidor.</w:t>
      </w:r>
    </w:p>
    <w:p>
      <w:pPr>
        <w:pStyle w:val="ListBullet"/>
        <w:spacing w:after="40" w:line="250" w:lineRule="auto"/>
      </w:pPr>
      <w:r>
        <w:rPr>
          <w:rFonts w:ascii="Aptos" w:hAnsi="Aptos"/>
          <w:b w:val="0"/>
          <w:i w:val="0"/>
          <w:color w:val="0F172A"/>
          <w:sz w:val="20"/>
        </w:rPr>
        <w:t>Nevrano podrá suspender tareas no críticas por incumplimientos de pago relevantes, previa comunicación razonable, salvo que la urgencia o la seguridad justifiquen otra medida.</w:t>
      </w:r>
    </w:p>
    <w:p>
      <w:pPr>
        <w:pStyle w:val="ListBullet"/>
        <w:spacing w:after="40" w:line="250" w:lineRule="auto"/>
      </w:pPr>
      <w:r>
        <w:rPr>
          <w:rFonts w:ascii="Aptos" w:hAnsi="Aptos"/>
          <w:b w:val="0"/>
          <w:i w:val="0"/>
          <w:color w:val="0F172A"/>
          <w:sz w:val="20"/>
        </w:rPr>
        <w:t>Nevrano podrá rechazar o finalizar un servicio que sea utilizado para actividades ilícitas, fraude, ataques, abuso de datos o conductas que generen un riesgo jurídico o de seguridad grave.</w:t>
      </w:r>
    </w:p>
    <w:p>
      <w:pPr>
        <w:pStyle w:val="ListBullet"/>
        <w:spacing w:after="40" w:line="250" w:lineRule="auto"/>
      </w:pPr>
      <w:r>
        <w:rPr>
          <w:rFonts w:ascii="Aptos" w:hAnsi="Aptos"/>
          <w:b w:val="0"/>
          <w:i w:val="0"/>
          <w:color w:val="0F172A"/>
          <w:sz w:val="20"/>
        </w:rPr>
        <w:t>Al finalizar la relación se coordinará, según corresponda, la entrega, transferencia o revocación de accesos y la situación de las cuentas y servicios de terceros vinculados.</w:t>
      </w:r>
    </w:p>
    <w:p>
      <w:pPr>
        <w:spacing w:before="120" w:after="80"/>
      </w:pPr>
      <w:r>
        <w:rPr>
          <w:rFonts w:ascii="Aptos" w:hAnsi="Aptos"/>
          <w:b/>
          <w:i w:val="0"/>
          <w:color w:val="2563EB"/>
          <w:sz w:val="23"/>
        </w:rPr>
        <w:t>22.1. Cancelación voluntaria y reembolsos fuera del derecho legal de arrepentimiento</w:t>
      </w:r>
    </w:p>
    <w:p>
      <w:pPr>
        <w:spacing w:after="80" w:line="254" w:lineRule="auto"/>
      </w:pPr>
      <w:r>
        <w:rPr>
          <w:rFonts w:ascii="Aptos" w:hAnsi="Aptos"/>
          <w:b w:val="0"/>
          <w:i w:val="0"/>
          <w:color w:val="0F172A"/>
          <w:sz w:val="20"/>
        </w:rPr>
        <w:t>Las reglas de este punto se aplican a las cancelaciones voluntarias solicitadas por el Cliente cuando no se trate del ejercicio válido del derecho legal de arrepentimiento previsto en el punto 14 ni de otro derecho obligatorio de revocación, restitución o reembolso. Cuando corresponda alguno de esos derechos legales, éstos prevalecerán sobre lo dispuesto a continuación.</w:t>
      </w:r>
    </w:p>
    <w:p>
      <w:pPr>
        <w:spacing w:after="80" w:line="254" w:lineRule="auto"/>
      </w:pPr>
      <w:r>
        <w:rPr>
          <w:rFonts w:ascii="Aptos" w:hAnsi="Aptos"/>
          <w:b w:val="0"/>
          <w:i w:val="0"/>
          <w:color w:val="0F172A"/>
          <w:sz w:val="20"/>
        </w:rPr>
        <w:t>Fuera de esos supuestos, el Cliente podrá solicitar la cancelación del Proyecto mediante una comunicación escrita o electrónica que permita conservar constancia. El reembolso, si correspondiera, se determinará considerando el estado de avance, las tareas efectivamente realizadas y los costos de terceros asumidos específicamente para el Proyecto.</w:t>
      </w:r>
    </w:p>
    <w:p>
      <w:pPr>
        <w:spacing w:after="80" w:line="254" w:lineRule="auto"/>
      </w:pPr>
      <w:r>
        <w:rPr>
          <w:rFonts w:ascii="Aptos" w:hAnsi="Aptos"/>
          <w:b w:val="0"/>
          <w:i w:val="0"/>
          <w:color w:val="0F172A"/>
          <w:sz w:val="20"/>
        </w:rPr>
        <w:t>Si la cancelación voluntaria se produce antes del inicio efectivo de los trabajos, Nevrano reintegrará las sumas que correspondan, pudiendo descontarse únicamente los costos de terceros efectivamente asumidos y no recuperables cuando ello resulte procedente conforme al acuerdo y a la normativa aplicable.</w:t>
      </w:r>
    </w:p>
    <w:p>
      <w:pPr>
        <w:spacing w:after="80" w:line="254" w:lineRule="auto"/>
      </w:pPr>
      <w:r>
        <w:rPr>
          <w:rFonts w:ascii="Aptos" w:hAnsi="Aptos"/>
          <w:b w:val="0"/>
          <w:i w:val="0"/>
          <w:color w:val="0F172A"/>
          <w:sz w:val="20"/>
        </w:rPr>
        <w:t>Si los trabajos ya hubieran comenzado, Nevrano podrá imputar al precio las tareas efectivamente realizadas hasta la fecha de cancelación y los costos de terceros no recuperables vinculados al Proyecto. Cuando exista un saldo a favor del Cliente, éste será reintegrado una vez efectuada la liquidación correspondiente.</w:t>
      </w:r>
    </w:p>
    <w:p>
      <w:pPr>
        <w:spacing w:after="80" w:line="254" w:lineRule="auto"/>
      </w:pPr>
      <w:r>
        <w:rPr>
          <w:rFonts w:ascii="Aptos" w:hAnsi="Aptos"/>
          <w:b w:val="0"/>
          <w:i w:val="0"/>
          <w:color w:val="0F172A"/>
          <w:sz w:val="20"/>
        </w:rPr>
        <w:t>Si Nevrano cancelara definitivamente el Proyecto por una causa no imputable al Cliente, reintegrará la parte de los importes abonados correspondiente a trabajos no realizados y adoptará las medidas razonables para facilitar la entrega de lo que corresponda según el estado del Proyecto, sin perjuicio de otros derechos legalmente aplicables.</w:t>
      </w:r>
    </w:p>
    <w:p>
      <w:pPr>
        <w:spacing w:after="80" w:line="254" w:lineRule="auto"/>
      </w:pPr>
      <w:r>
        <w:rPr>
          <w:rFonts w:ascii="Aptos" w:hAnsi="Aptos"/>
          <w:b w:val="0"/>
          <w:i w:val="0"/>
          <w:color w:val="0F172A"/>
          <w:sz w:val="20"/>
        </w:rPr>
        <w:t>La existencia de un defecto, error o incidencia técnica no genera por sí sola un derecho automático al reembolso total. Cuando resulte razonablemente posible y sin afectar derechos legales del Cliente, Nevrano podrá diagnosticar y corregir el defecto dentro de un plazo adecuado según su naturaleza y criticidad.</w:t>
      </w:r>
    </w:p>
    <w:p>
      <w:pPr>
        <w:spacing w:after="80" w:line="254" w:lineRule="auto"/>
      </w:pPr>
      <w:r>
        <w:rPr>
          <w:rFonts w:ascii="Aptos" w:hAnsi="Aptos"/>
          <w:b w:val="0"/>
          <w:i w:val="0"/>
          <w:color w:val="0F172A"/>
          <w:sz w:val="20"/>
        </w:rPr>
        <w:t>Una vez que el Proyecto haya sido entregado conforme al alcance contratado y aceptado por el Cliente, la mera decisión posterior de no utilizarlo, modificar su estrategia comercial o cambiar de criterio no generará por sí sola un derecho a devolución. Esta disposición no limita garantías, remedios por incumplimiento ni derechos imperativos de consumidores o usuarios.</w:t>
      </w:r>
    </w:p>
    <w:p>
      <w:pPr>
        <w:keepNext/>
        <w:spacing w:before="240" w:after="100"/>
        <w:pBdr>
          <w:bottom w:val="single" w:sz="8" w:space="1" w:color="2563EB"/>
        </w:pBdr>
      </w:pPr>
      <w:r>
        <w:rPr>
          <w:rFonts w:ascii="Aptos" w:hAnsi="Aptos"/>
          <w:b/>
          <w:i w:val="0"/>
          <w:color w:val="172554"/>
          <w:sz w:val="29"/>
        </w:rPr>
        <w:t>23. Responsabilidad</w:t>
      </w:r>
    </w:p>
    <w:p>
      <w:pPr>
        <w:spacing w:after="80" w:line="257" w:lineRule="auto"/>
      </w:pPr>
      <w:r>
        <w:rPr>
          <w:rFonts w:ascii="Aptos" w:hAnsi="Aptos"/>
          <w:b w:val="0"/>
          <w:i w:val="0"/>
          <w:color w:val="0F172A"/>
          <w:sz w:val="20"/>
        </w:rPr>
        <w:t>Cada parte responderá por sus propios actos, incumplimientos y obligaciones conforme al contrato y a la normativa aplicable. Nevrano no asume responsabilidad por contenido falso o ilegal aportado por el Cliente, decisiones comerciales del Cliente, credenciales comprometidas por terceros, modificaciones no autorizadas o fallas de proveedores externos fuera de su control, sin perjuicio de la asistencia técnica que corresponda.</w:t>
      </w:r>
    </w:p>
    <w:p>
      <w:pPr>
        <w:spacing w:after="80" w:line="257" w:lineRule="auto"/>
      </w:pPr>
      <w:r>
        <w:rPr>
          <w:rFonts w:ascii="Aptos" w:hAnsi="Aptos"/>
          <w:b w:val="0"/>
          <w:i w:val="0"/>
          <w:color w:val="0F172A"/>
          <w:sz w:val="20"/>
        </w:rPr>
        <w:t>Ninguna cláusula de estos Términos debe interpretarse como exclusión de responsabilidad por dolo, culpa grave, incumplimientos legalmente imputables, defectos del servicio o derechos de consumidores que no puedan ser limitados. Las cláusulas se interpretarán de buena fe y, cuando resulte aplicable la normativa de consumo, del modo más favorable al consumidor.</w:t>
      </w:r>
    </w:p>
    <w:p>
      <w:pPr>
        <w:keepNext/>
        <w:spacing w:before="240" w:after="100"/>
        <w:pBdr>
          <w:bottom w:val="single" w:sz="8" w:space="1" w:color="2563EB"/>
        </w:pBdr>
      </w:pPr>
      <w:r>
        <w:rPr>
          <w:rFonts w:ascii="Aptos" w:hAnsi="Aptos"/>
          <w:b/>
          <w:i w:val="0"/>
          <w:color w:val="172554"/>
          <w:sz w:val="29"/>
        </w:rPr>
        <w:t>24. Procedimiento ante incidentes o problemas con el Proyecto</w:t>
      </w:r>
    </w:p>
    <w:p>
      <w:pPr>
        <w:spacing w:after="80" w:line="257" w:lineRule="auto"/>
      </w:pPr>
      <w:r>
        <w:rPr>
          <w:rFonts w:ascii="Aptos" w:hAnsi="Aptos"/>
          <w:b w:val="0"/>
          <w:i w:val="0"/>
          <w:color w:val="0F172A"/>
          <w:sz w:val="20"/>
        </w:rPr>
        <w:t>Si el Cliente detecta una falla, incidente, acceso no autorizado, pérdida de información, error de pago, caída del sitio o comportamiento inesperado, deberá comunicarlo a Nevrano tan pronto como sea razonablemente posible por los canales de soporte informados.</w:t>
      </w:r>
    </w:p>
    <w:p>
      <w:pPr>
        <w:pStyle w:val="ListNumber"/>
        <w:spacing w:after="40" w:line="250" w:lineRule="auto"/>
      </w:pPr>
      <w:r>
        <w:rPr>
          <w:rFonts w:ascii="Aptos" w:hAnsi="Aptos"/>
          <w:b w:val="0"/>
          <w:i w:val="0"/>
          <w:color w:val="0F172A"/>
          <w:sz w:val="20"/>
        </w:rPr>
        <w:t>Evitar eliminar registros, restablecer sistemas o modificar configuraciones críticas cuando ello pueda borrar evidencia o agravar el incidente.</w:t>
      </w:r>
    </w:p>
    <w:p>
      <w:pPr>
        <w:pStyle w:val="ListNumber"/>
        <w:spacing w:after="40" w:line="250" w:lineRule="auto"/>
      </w:pPr>
      <w:r>
        <w:rPr>
          <w:rFonts w:ascii="Aptos" w:hAnsi="Aptos"/>
          <w:b w:val="0"/>
          <w:i w:val="0"/>
          <w:color w:val="0F172A"/>
          <w:sz w:val="20"/>
        </w:rPr>
        <w:t>Informar la dirección o sección afectada, fecha y hora aproximadas, usuario afectado, dispositivo o navegador, mensaje de error y pasos que permiten reproducir el problema.</w:t>
      </w:r>
    </w:p>
    <w:p>
      <w:pPr>
        <w:pStyle w:val="ListNumber"/>
        <w:spacing w:after="40" w:line="250" w:lineRule="auto"/>
      </w:pPr>
      <w:r>
        <w:rPr>
          <w:rFonts w:ascii="Aptos" w:hAnsi="Aptos"/>
          <w:b w:val="0"/>
          <w:i w:val="0"/>
          <w:color w:val="0F172A"/>
          <w:sz w:val="20"/>
        </w:rPr>
        <w:t>Adjuntar capturas o videos cuando sea posible, evitando compartir contraseñas o información innecesariamente sensible.</w:t>
      </w:r>
    </w:p>
    <w:p>
      <w:pPr>
        <w:pStyle w:val="ListNumber"/>
        <w:spacing w:after="40" w:line="250" w:lineRule="auto"/>
      </w:pPr>
      <w:r>
        <w:rPr>
          <w:rFonts w:ascii="Aptos" w:hAnsi="Aptos"/>
          <w:b w:val="0"/>
          <w:i w:val="0"/>
          <w:color w:val="0F172A"/>
          <w:sz w:val="20"/>
        </w:rPr>
        <w:t>Indicar expresamente si el incidente involucra datos personales, pagos, cuentas administrativas, pérdida de información o indisponibilidad total.</w:t>
      </w:r>
    </w:p>
    <w:p>
      <w:pPr>
        <w:pStyle w:val="ListNumber"/>
        <w:spacing w:after="40" w:line="250" w:lineRule="auto"/>
      </w:pPr>
      <w:r>
        <w:rPr>
          <w:rFonts w:ascii="Aptos" w:hAnsi="Aptos"/>
          <w:b w:val="0"/>
          <w:i w:val="0"/>
          <w:color w:val="0F172A"/>
          <w:sz w:val="20"/>
        </w:rPr>
        <w:t>Si se sospecha compromiso de una cuenta, cambiar o revocar credenciales comprometidas y limitar accesos siguiendo las indicaciones técnicas disponibles.</w:t>
      </w:r>
    </w:p>
    <w:p>
      <w:pPr>
        <w:pStyle w:val="ListNumber"/>
        <w:spacing w:after="40" w:line="250" w:lineRule="auto"/>
      </w:pPr>
      <w:r>
        <w:rPr>
          <w:rFonts w:ascii="Aptos" w:hAnsi="Aptos"/>
          <w:b w:val="0"/>
          <w:i w:val="0"/>
          <w:color w:val="0F172A"/>
          <w:sz w:val="20"/>
        </w:rPr>
        <w:t>No repetir pagos, envíos masivos, eliminaciones u otras operaciones irreversibles mientras exista riesgo de duplicación, salvo indicación del proveedor correspondiente o de Nevrano.</w:t>
      </w:r>
    </w:p>
    <w:p>
      <w:pPr>
        <w:pStyle w:val="ListNumber"/>
        <w:spacing w:after="40" w:line="250" w:lineRule="auto"/>
      </w:pPr>
      <w:r>
        <w:rPr>
          <w:rFonts w:ascii="Aptos" w:hAnsi="Aptos"/>
          <w:b w:val="0"/>
          <w:i w:val="0"/>
          <w:color w:val="0F172A"/>
          <w:sz w:val="20"/>
        </w:rPr>
        <w:t>Designar una persona autorizada para aprobar medidas urgentes cuando el incidente requiera una decisión del Cliente.</w:t>
      </w:r>
    </w:p>
    <w:p>
      <w:pPr>
        <w:keepNext/>
        <w:spacing w:before="240" w:after="100"/>
        <w:pBdr>
          <w:bottom w:val="single" w:sz="8" w:space="1" w:color="2563EB"/>
        </w:pBdr>
      </w:pPr>
      <w:r>
        <w:rPr>
          <w:rFonts w:ascii="Aptos" w:hAnsi="Aptos"/>
          <w:b/>
          <w:i w:val="0"/>
          <w:color w:val="172554"/>
          <w:sz w:val="29"/>
        </w:rPr>
        <w:t>25. Niveles de prioridad de incidentes</w:t>
      </w:r>
    </w:p>
    <w:tbl>
      <w:tblPr>
        <w:tblStyle w:val="TableGrid"/>
        <w:tblW w:type="auto" w:w="0"/>
        <w:jc w:val="center"/>
        <w:tblLook w:firstColumn="1" w:firstRow="1" w:lastColumn="0" w:lastRow="0" w:noHBand="0" w:noVBand="1" w:val="04A0"/>
      </w:tblPr>
      <w:tblGrid>
        <w:gridCol w:w="3389"/>
        <w:gridCol w:w="3389"/>
        <w:gridCol w:w="3389"/>
      </w:tblGrid>
      <w:tr>
        <w:tc>
          <w:tcPr>
            <w:tcW w:type="dxa" w:w="1728"/>
            <w:shd w:fill="172554"/>
            <w:tcBorders>
              <w:top w:val="single" w:sz="4" w:color="CBD5E1"/>
              <w:left w:val="single" w:sz="4" w:color="CBD5E1"/>
              <w:bottom w:val="single" w:sz="4" w:color="CBD5E1"/>
              <w:right w:val="single" w:sz="4" w:color="CBD5E1"/>
            </w:tcBorders>
            <w:vAlign w:val="center"/>
          </w:tcPr>
          <w:p>
            <w:pPr>
              <w:jc w:val="center"/>
            </w:pPr>
            <w:r>
              <w:rPr>
                <w:rFonts w:ascii="Aptos" w:hAnsi="Aptos"/>
                <w:b/>
                <w:i w:val="0"/>
                <w:color w:val="FFFFFF"/>
                <w:sz w:val="15"/>
              </w:rPr>
              <w:t>Prioridad</w:t>
            </w:r>
          </w:p>
        </w:tc>
        <w:tc>
          <w:tcPr>
            <w:tcW w:type="dxa" w:w="4464"/>
            <w:shd w:fill="172554"/>
            <w:tcBorders>
              <w:top w:val="single" w:sz="4" w:color="CBD5E1"/>
              <w:left w:val="single" w:sz="4" w:color="CBD5E1"/>
              <w:bottom w:val="single" w:sz="4" w:color="CBD5E1"/>
              <w:right w:val="single" w:sz="4" w:color="CBD5E1"/>
            </w:tcBorders>
            <w:vAlign w:val="center"/>
          </w:tcPr>
          <w:p>
            <w:pPr>
              <w:jc w:val="center"/>
            </w:pPr>
            <w:r>
              <w:rPr>
                <w:rFonts w:ascii="Aptos" w:hAnsi="Aptos"/>
                <w:b/>
                <w:i w:val="0"/>
                <w:color w:val="FFFFFF"/>
                <w:sz w:val="15"/>
              </w:rPr>
              <w:t>Ejemplos</w:t>
            </w:r>
          </w:p>
        </w:tc>
        <w:tc>
          <w:tcPr>
            <w:tcW w:type="dxa" w:w="4896"/>
            <w:shd w:fill="172554"/>
            <w:tcBorders>
              <w:top w:val="single" w:sz="4" w:color="CBD5E1"/>
              <w:left w:val="single" w:sz="4" w:color="CBD5E1"/>
              <w:bottom w:val="single" w:sz="4" w:color="CBD5E1"/>
              <w:right w:val="single" w:sz="4" w:color="CBD5E1"/>
            </w:tcBorders>
            <w:vAlign w:val="center"/>
          </w:tcPr>
          <w:p>
            <w:pPr>
              <w:jc w:val="center"/>
            </w:pPr>
            <w:r>
              <w:rPr>
                <w:rFonts w:ascii="Aptos" w:hAnsi="Aptos"/>
                <w:b/>
                <w:i w:val="0"/>
                <w:color w:val="FFFFFF"/>
                <w:sz w:val="15"/>
              </w:rPr>
              <w:t>Tratamiento</w:t>
            </w:r>
          </w:p>
        </w:tc>
      </w:tr>
      <w:tr>
        <w:tc>
          <w:tcPr>
            <w:tcW w:type="dxa" w:w="172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P1 - Crítica</w:t>
            </w:r>
          </w:p>
        </w:tc>
        <w:tc>
          <w:tcPr>
            <w:tcW w:type="dxa" w:w="4464"/>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Exposición de datos; acceso administrativo no autorizado; sitio totalmente caído; pagos gravemente afectados; pérdida masiva de información.</w:t>
            </w:r>
          </w:p>
        </w:tc>
        <w:tc>
          <w:tcPr>
            <w:tcW w:type="dxa" w:w="4896"/>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Contención y diagnóstico prioritarios. Puede requerir suspensión temporal de funciones para evitar mayores daños.</w:t>
            </w:r>
          </w:p>
        </w:tc>
      </w:tr>
      <w:tr>
        <w:tc>
          <w:tcPr>
            <w:tcW w:type="dxa" w:w="172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P2 - Alta</w:t>
            </w:r>
          </w:p>
        </w:tc>
        <w:tc>
          <w:tcPr>
            <w:tcW w:type="dxa" w:w="4464"/>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Función principal inoperativa para múltiples usuarios; formularios o integración esencial fuera de servicio.</w:t>
            </w:r>
          </w:p>
        </w:tc>
        <w:tc>
          <w:tcPr>
            <w:tcW w:type="dxa" w:w="4896"/>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Diagnóstico prioritario dentro del soporte contratado.</w:t>
            </w:r>
          </w:p>
        </w:tc>
      </w:tr>
      <w:tr>
        <w:tc>
          <w:tcPr>
            <w:tcW w:type="dxa" w:w="172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P3 - Media</w:t>
            </w:r>
          </w:p>
        </w:tc>
        <w:tc>
          <w:tcPr>
            <w:tcW w:type="dxa" w:w="4464"/>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Falla parcial o secundaria que no impide el uso principal.</w:t>
            </w:r>
          </w:p>
        </w:tc>
        <w:tc>
          <w:tcPr>
            <w:tcW w:type="dxa" w:w="4896"/>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Se registra, reproduce y programa la corrección.</w:t>
            </w:r>
          </w:p>
        </w:tc>
      </w:tr>
      <w:tr>
        <w:tc>
          <w:tcPr>
            <w:tcW w:type="dxa" w:w="172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P4 - Baja</w:t>
            </w:r>
          </w:p>
        </w:tc>
        <w:tc>
          <w:tcPr>
            <w:tcW w:type="dxa" w:w="4464"/>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Ajuste visual, consulta, mejora o nueva función.</w:t>
            </w:r>
          </w:p>
        </w:tc>
        <w:tc>
          <w:tcPr>
            <w:tcW w:type="dxa" w:w="4896"/>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Se atiende por soporte o se cotiza como mejora, según corresponda.</w:t>
            </w:r>
          </w:p>
        </w:tc>
      </w:tr>
    </w:tbl>
    <w:p>
      <w:pPr>
        <w:spacing w:after="0"/>
      </w:pPr>
    </w:p>
    <w:p>
      <w:pPr>
        <w:keepNext/>
        <w:spacing w:before="240" w:after="100"/>
        <w:pBdr>
          <w:bottom w:val="single" w:sz="8" w:space="1" w:color="2563EB"/>
        </w:pBdr>
      </w:pPr>
      <w:r>
        <w:rPr>
          <w:rFonts w:ascii="Aptos" w:hAnsi="Aptos"/>
          <w:b/>
          <w:i w:val="0"/>
          <w:color w:val="172554"/>
          <w:sz w:val="29"/>
        </w:rPr>
        <w:t>26. Respuesta ante situaciones específicas</w:t>
      </w:r>
    </w:p>
    <w:tbl>
      <w:tblPr>
        <w:tblStyle w:val="TableGrid"/>
        <w:tblW w:type="auto" w:w="0"/>
        <w:jc w:val="center"/>
        <w:tblLook w:firstColumn="1" w:firstRow="1" w:lastColumn="0" w:lastRow="0" w:noHBand="0" w:noVBand="1" w:val="04A0"/>
      </w:tblPr>
      <w:tblGrid>
        <w:gridCol w:w="5083"/>
        <w:gridCol w:w="5083"/>
      </w:tblGrid>
      <w:tr>
        <w:tc>
          <w:tcPr>
            <w:tcW w:type="dxa" w:w="3240"/>
            <w:shd w:fill="172554"/>
            <w:tcBorders>
              <w:top w:val="single" w:sz="4" w:color="CBD5E1"/>
              <w:left w:val="single" w:sz="4" w:color="CBD5E1"/>
              <w:bottom w:val="single" w:sz="4" w:color="CBD5E1"/>
              <w:right w:val="single" w:sz="4" w:color="CBD5E1"/>
            </w:tcBorders>
            <w:vAlign w:val="center"/>
          </w:tcPr>
          <w:p>
            <w:pPr>
              <w:jc w:val="center"/>
            </w:pPr>
            <w:r>
              <w:rPr>
                <w:rFonts w:ascii="Aptos" w:hAnsi="Aptos"/>
                <w:b/>
                <w:i w:val="0"/>
                <w:color w:val="FFFFFF"/>
                <w:sz w:val="15"/>
              </w:rPr>
              <w:t>Situación</w:t>
            </w:r>
          </w:p>
        </w:tc>
        <w:tc>
          <w:tcPr>
            <w:tcW w:type="dxa" w:w="7848"/>
            <w:shd w:fill="172554"/>
            <w:tcBorders>
              <w:top w:val="single" w:sz="4" w:color="CBD5E1"/>
              <w:left w:val="single" w:sz="4" w:color="CBD5E1"/>
              <w:bottom w:val="single" w:sz="4" w:color="CBD5E1"/>
              <w:right w:val="single" w:sz="4" w:color="CBD5E1"/>
            </w:tcBorders>
            <w:vAlign w:val="center"/>
          </w:tcPr>
          <w:p>
            <w:pPr>
              <w:jc w:val="center"/>
            </w:pPr>
            <w:r>
              <w:rPr>
                <w:rFonts w:ascii="Aptos" w:hAnsi="Aptos"/>
                <w:b/>
                <w:i w:val="0"/>
                <w:color w:val="FFFFFF"/>
                <w:sz w:val="15"/>
              </w:rPr>
              <w:t>Medida inicial</w:t>
            </w:r>
          </w:p>
        </w:tc>
      </w:tr>
      <w:tr>
        <w:tc>
          <w:tcPr>
            <w:tcW w:type="dxa" w:w="32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Acceso no autorizado</w:t>
            </w:r>
          </w:p>
        </w:tc>
        <w:tc>
          <w:tcPr>
            <w:tcW w:type="dxa" w:w="784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Revocar sesiones y credenciales comprometidas, limitar accesos, revisar actividad y preservar evidencia.</w:t>
            </w:r>
          </w:p>
        </w:tc>
      </w:tr>
      <w:tr>
        <w:tc>
          <w:tcPr>
            <w:tcW w:type="dxa" w:w="32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Exposición de una credencial técnica</w:t>
            </w:r>
          </w:p>
        </w:tc>
        <w:tc>
          <w:tcPr>
            <w:tcW w:type="dxa" w:w="784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Revocar o rotar la credencial de inmediato y revisar registros de uso.</w:t>
            </w:r>
          </w:p>
        </w:tc>
      </w:tr>
      <w:tr>
        <w:tc>
          <w:tcPr>
            <w:tcW w:type="dxa" w:w="32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Un usuario ve información de otro</w:t>
            </w:r>
          </w:p>
        </w:tc>
        <w:tc>
          <w:tcPr>
            <w:tcW w:type="dxa" w:w="784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Restringir temporalmente el acceso afectado, revisar permisos, preservar logs y evaluar el alcance del incidente.</w:t>
            </w:r>
          </w:p>
        </w:tc>
      </w:tr>
      <w:tr>
        <w:tc>
          <w:tcPr>
            <w:tcW w:type="dxa" w:w="32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Pérdida o eliminación de datos</w:t>
            </w:r>
          </w:p>
        </w:tc>
        <w:tc>
          <w:tcPr>
            <w:tcW w:type="dxa" w:w="784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Evitar nuevas escrituras si pueden sobrescribir información recuperable; revisar backups y mecanismos de restauración.</w:t>
            </w:r>
          </w:p>
        </w:tc>
      </w:tr>
      <w:tr>
        <w:tc>
          <w:tcPr>
            <w:tcW w:type="dxa" w:w="32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Caída del sitio</w:t>
            </w:r>
          </w:p>
        </w:tc>
        <w:tc>
          <w:tcPr>
            <w:tcW w:type="dxa" w:w="784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Verificar dominio, conectividad, infraestructura y proveedores externos; restaurar el servicio cuando sea técnicamente posible.</w:t>
            </w:r>
          </w:p>
        </w:tc>
      </w:tr>
      <w:tr>
        <w:tc>
          <w:tcPr>
            <w:tcW w:type="dxa" w:w="32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Formulario no entrega consultas</w:t>
            </w:r>
          </w:p>
        </w:tc>
        <w:tc>
          <w:tcPr>
            <w:tcW w:type="dxa" w:w="784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Revisar el flujo de envío, registros, proveedor de correo y configuración; recuperar mensajes cuando exista trazabilidad suficiente.</w:t>
            </w:r>
          </w:p>
        </w:tc>
      </w:tr>
      <w:tr>
        <w:tc>
          <w:tcPr>
            <w:tcW w:type="dxa" w:w="32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Pago duplicado o estado incorrecto</w:t>
            </w:r>
          </w:p>
        </w:tc>
        <w:tc>
          <w:tcPr>
            <w:tcW w:type="dxa" w:w="784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Pausar acciones automáticas relacionadas, conciliar con el proveedor de pagos y evitar repetir la operación hasta determinar la causa.</w:t>
            </w:r>
          </w:p>
        </w:tc>
      </w:tr>
      <w:tr>
        <w:tc>
          <w:tcPr>
            <w:tcW w:type="dxa" w:w="32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Automatización repetida</w:t>
            </w:r>
          </w:p>
        </w:tc>
        <w:tc>
          <w:tcPr>
            <w:tcW w:type="dxa" w:w="784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Pausar el proceso afectado, identificar duplicados y corregir la lógica antes de reanudar.</w:t>
            </w:r>
          </w:p>
        </w:tc>
      </w:tr>
      <w:tr>
        <w:tc>
          <w:tcPr>
            <w:tcW w:type="dxa" w:w="32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Error en precio o contenido</w:t>
            </w:r>
          </w:p>
        </w:tc>
        <w:tc>
          <w:tcPr>
            <w:tcW w:type="dxa" w:w="784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Corregir la publicación y determinar si el origen fue contenido suministrado/aprobado por el Cliente o un defecto técnico.</w:t>
            </w:r>
          </w:p>
        </w:tc>
      </w:tr>
      <w:tr>
        <w:tc>
          <w:tcPr>
            <w:tcW w:type="dxa" w:w="32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Reclamo de consumidor</w:t>
            </w:r>
          </w:p>
        </w:tc>
        <w:tc>
          <w:tcPr>
            <w:tcW w:type="dxa" w:w="784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Preservar evidencia técnica y colaborar con el Cliente en los aspectos técnicos, sin sustituirlo en sus obligaciones como proveedor.</w:t>
            </w:r>
          </w:p>
        </w:tc>
      </w:tr>
      <w:tr>
        <w:tc>
          <w:tcPr>
            <w:tcW w:type="dxa" w:w="3240"/>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Reclamo de privacidad</w:t>
            </w:r>
          </w:p>
        </w:tc>
        <w:tc>
          <w:tcPr>
            <w:tcW w:type="dxa" w:w="7848"/>
            <w:tcBorders>
              <w:top w:val="single" w:sz="4" w:color="CBD5E1"/>
              <w:left w:val="single" w:sz="4" w:color="CBD5E1"/>
              <w:bottom w:val="single" w:sz="4" w:color="CBD5E1"/>
              <w:right w:val="single" w:sz="4" w:color="CBD5E1"/>
            </w:tcBorders>
            <w:vAlign w:val="top"/>
          </w:tcPr>
          <w:p>
            <w:pPr>
              <w:spacing w:after="0" w:line="240" w:lineRule="auto"/>
            </w:pPr>
            <w:r>
              <w:rPr>
                <w:rFonts w:ascii="Aptos" w:hAnsi="Aptos"/>
                <w:b w:val="0"/>
                <w:i w:val="0"/>
                <w:color w:val="0F172A"/>
                <w:sz w:val="15"/>
              </w:rPr>
              <w:t>Preservar registros, identificar datos afectados y facilitar las medidas técnicas necesarias para que el responsable atienda los derechos aplicables.</w:t>
            </w:r>
          </w:p>
        </w:tc>
      </w:tr>
      <w:tr>
        <w:tc>
          <w:tcPr>
            <w:tcW w:type="dxa" w:w="3240"/>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Dominio o servicio vencido</w:t>
            </w:r>
          </w:p>
        </w:tc>
        <w:tc>
          <w:tcPr>
            <w:tcW w:type="dxa" w:w="7848"/>
            <w:tcBorders>
              <w:top w:val="single" w:sz="4" w:color="CBD5E1"/>
              <w:left w:val="single" w:sz="4" w:color="CBD5E1"/>
              <w:bottom w:val="single" w:sz="4" w:color="CBD5E1"/>
              <w:right w:val="single" w:sz="4" w:color="CBD5E1"/>
            </w:tcBorders>
            <w:vAlign w:val="top"/>
            <w:shd w:fill="F8FAFC"/>
          </w:tcPr>
          <w:p>
            <w:pPr>
              <w:spacing w:after="0" w:line="240" w:lineRule="auto"/>
            </w:pPr>
            <w:r>
              <w:rPr>
                <w:rFonts w:ascii="Aptos" w:hAnsi="Aptos"/>
                <w:b w:val="0"/>
                <w:i w:val="0"/>
                <w:color w:val="0F172A"/>
                <w:sz w:val="15"/>
              </w:rPr>
              <w:t>Regularizar el servicio cuando sea posible y revisar quién tenía a su cargo la renovación.</w:t>
            </w:r>
          </w:p>
        </w:tc>
      </w:tr>
    </w:tbl>
    <w:p>
      <w:pPr>
        <w:spacing w:after="0"/>
      </w:pPr>
    </w:p>
    <w:p>
      <w:pPr>
        <w:keepNext/>
        <w:spacing w:before="240" w:after="100"/>
        <w:pBdr>
          <w:bottom w:val="single" w:sz="8" w:space="1" w:color="2563EB"/>
        </w:pBdr>
      </w:pPr>
      <w:r>
        <w:rPr>
          <w:rFonts w:ascii="Aptos" w:hAnsi="Aptos"/>
          <w:b/>
          <w:i w:val="0"/>
          <w:color w:val="172554"/>
          <w:sz w:val="29"/>
        </w:rPr>
        <w:t>27. Notificaciones y canales de contacto</w:t>
      </w:r>
    </w:p>
    <w:p>
      <w:pPr>
        <w:spacing w:after="80" w:line="257" w:lineRule="auto"/>
      </w:pPr>
      <w:r>
        <w:rPr>
          <w:rFonts w:ascii="Aptos" w:hAnsi="Aptos"/>
          <w:b w:val="0"/>
          <w:i w:val="0"/>
          <w:color w:val="0F172A"/>
          <w:sz w:val="20"/>
        </w:rPr>
        <w:t>Las comunicaciones podrán realizarse mediante los canales informados en la propuesta, el sitio web o estos Términos. Para asuntos relevantes —aceptación, cambios de alcance, entregas, cancelaciones, incidentes críticos y reclamos— se utilizarán medios que permitan conservar constancia.</w:t>
      </w:r>
    </w:p>
    <w:p>
      <w:pPr>
        <w:pStyle w:val="ListBullet"/>
        <w:spacing w:after="40" w:line="250" w:lineRule="auto"/>
      </w:pPr>
      <w:r>
        <w:rPr>
          <w:rFonts w:ascii="Aptos" w:hAnsi="Aptos"/>
          <w:b w:val="0"/>
          <w:i w:val="0"/>
          <w:color w:val="0F172A"/>
          <w:sz w:val="20"/>
        </w:rPr>
        <w:t>Email: nevrano.studios@gmail.com</w:t>
      </w:r>
    </w:p>
    <w:p>
      <w:pPr>
        <w:pStyle w:val="ListBullet"/>
        <w:spacing w:after="40" w:line="250" w:lineRule="auto"/>
      </w:pPr>
      <w:r>
        <w:rPr>
          <w:rFonts w:ascii="Aptos" w:hAnsi="Aptos"/>
          <w:b w:val="0"/>
          <w:i w:val="0"/>
          <w:color w:val="0F172A"/>
          <w:sz w:val="20"/>
        </w:rPr>
        <w:t>WhatsApp: +54 11 5405-6534</w:t>
      </w:r>
    </w:p>
    <w:p>
      <w:pPr>
        <w:pStyle w:val="ListBullet"/>
        <w:spacing w:after="40" w:line="250" w:lineRule="auto"/>
      </w:pPr>
      <w:r>
        <w:rPr>
          <w:rFonts w:ascii="Aptos" w:hAnsi="Aptos"/>
          <w:b w:val="0"/>
          <w:i w:val="0"/>
          <w:color w:val="0F172A"/>
          <w:sz w:val="20"/>
        </w:rPr>
        <w:t>Sitio web: https://nevrano.studio</w:t>
      </w:r>
    </w:p>
    <w:p>
      <w:pPr>
        <w:keepNext/>
        <w:spacing w:before="240" w:after="100"/>
        <w:pBdr>
          <w:bottom w:val="single" w:sz="8" w:space="1" w:color="2563EB"/>
        </w:pBdr>
      </w:pPr>
      <w:r>
        <w:rPr>
          <w:rFonts w:ascii="Aptos" w:hAnsi="Aptos"/>
          <w:b/>
          <w:i w:val="0"/>
          <w:color w:val="172554"/>
          <w:sz w:val="29"/>
        </w:rPr>
        <w:t>28. Ley aplicable y relaciones de consumo</w:t>
      </w:r>
    </w:p>
    <w:p>
      <w:pPr>
        <w:spacing w:after="80" w:line="257" w:lineRule="auto"/>
      </w:pPr>
      <w:r>
        <w:rPr>
          <w:rFonts w:ascii="Aptos" w:hAnsi="Aptos"/>
          <w:b w:val="0"/>
          <w:i w:val="0"/>
          <w:color w:val="0F172A"/>
          <w:sz w:val="20"/>
        </w:rPr>
        <w:t>Estos Términos se regirán por las leyes de la República Argentina, sin perjuicio de las normas imperativas que puedan resultar aplicables por la naturaleza de la contratación. En las relaciones de consumo, la jurisdicción y los mecanismos de resolución de conflictos se determinarán conforme a las normas protectorias aplicables, y no se considerará válida una prórroga de jurisdicción que la ley tenga por no escrita.</w:t>
      </w:r>
    </w:p>
    <w:p>
      <w:pPr>
        <w:keepNext/>
        <w:spacing w:before="240" w:after="100"/>
        <w:pBdr>
          <w:bottom w:val="single" w:sz="8" w:space="1" w:color="2563EB"/>
        </w:pBdr>
      </w:pPr>
      <w:r>
        <w:rPr>
          <w:rFonts w:ascii="Aptos" w:hAnsi="Aptos"/>
          <w:b/>
          <w:i w:val="0"/>
          <w:color w:val="172554"/>
          <w:sz w:val="29"/>
        </w:rPr>
        <w:t>29. Modificación de los Términos</w:t>
      </w:r>
    </w:p>
    <w:p>
      <w:pPr>
        <w:spacing w:after="80" w:line="257" w:lineRule="auto"/>
      </w:pPr>
      <w:r>
        <w:rPr>
          <w:rFonts w:ascii="Aptos" w:hAnsi="Aptos"/>
          <w:b w:val="0"/>
          <w:i w:val="0"/>
          <w:color w:val="0F172A"/>
          <w:sz w:val="20"/>
        </w:rPr>
        <w:t>Nevrano podrá actualizar estos Términos para contrataciones futuras. La versión aplicable a cada Proyecto será la que haya sido puesta a disposición y aceptada al momento de contratar, salvo modificación posterior acordada válidamente por las partes o cambio normativo de aplicación obligatoria.</w:t>
      </w:r>
    </w:p>
    <w:p>
      <w:pPr>
        <w:keepNext/>
        <w:spacing w:before="240" w:after="100"/>
        <w:pBdr>
          <w:bottom w:val="single" w:sz="8" w:space="1" w:color="2563EB"/>
        </w:pBdr>
      </w:pPr>
      <w:r>
        <w:rPr>
          <w:rFonts w:ascii="Aptos" w:hAnsi="Aptos"/>
          <w:b/>
          <w:i w:val="0"/>
          <w:color w:val="172554"/>
          <w:sz w:val="29"/>
        </w:rPr>
        <w:t>30. Integridad y nulidad parcial</w:t>
      </w:r>
    </w:p>
    <w:p>
      <w:pPr>
        <w:spacing w:after="80" w:line="257" w:lineRule="auto"/>
      </w:pPr>
      <w:r>
        <w:rPr>
          <w:rFonts w:ascii="Aptos" w:hAnsi="Aptos"/>
          <w:b w:val="0"/>
          <w:i w:val="0"/>
          <w:color w:val="0F172A"/>
          <w:sz w:val="20"/>
        </w:rPr>
        <w:t>Estos Términos, junto con la propuesta particular y los anexos aceptados, conforman el acuerdo entre las partes respecto del Proyecto. Si una cláusula fuera declarada inválida o inaplicable, ello no afectará las restantes disposiciones en la medida en que el contrato pueda subsistir. Las cláusulas generales deberán interpretarse de forma clara, razonable, de buena fe y conforme a la legislación vigente.</w:t>
      </w:r>
    </w:p>
    <w:p>
      <w:pPr>
        <w:keepNext/>
        <w:spacing w:before="240" w:after="100"/>
        <w:pBdr>
          <w:bottom w:val="single" w:sz="8" w:space="1" w:color="2563EB"/>
        </w:pBdr>
      </w:pPr>
      <w:r>
        <w:rPr>
          <w:rFonts w:ascii="Aptos" w:hAnsi="Aptos"/>
          <w:b/>
          <w:i w:val="0"/>
          <w:color w:val="172554"/>
          <w:sz w:val="29"/>
        </w:rPr>
        <w:t>31. Marco normativo de referencia</w:t>
      </w:r>
    </w:p>
    <w:p>
      <w:pPr>
        <w:spacing w:after="80" w:line="257" w:lineRule="auto"/>
      </w:pPr>
      <w:r>
        <w:rPr>
          <w:rFonts w:ascii="Aptos" w:hAnsi="Aptos"/>
          <w:b w:val="0"/>
          <w:i w:val="0"/>
          <w:color w:val="0F172A"/>
          <w:sz w:val="20"/>
        </w:rPr>
        <w:t>La redacción de estos Términos toma como referencia, entre otras disposiciones aplicables según el caso, la Ley 24.240 de Defensa del Consumidor, el Código Civil y Comercial de la Nación —incluyendo reglas sobre contratos por adhesión y contratación a distancia—, la Ley 25.326 de Protección de los Datos Personales, la Disposición 954/2025 sobre mecanismos de arrepentimiento y baja, la Disposición 890/2025 sobre la Ventanilla Federal Única de Reclamos de Defensa del Consumidor y demás normas complementarias vigentes.</w:t>
      </w:r>
    </w:p>
    <w:sectPr w:rsidR="00FC693F" w:rsidRPr="0006063C" w:rsidSect="00034616">
      <w:headerReference w:type="default" r:id="rId9"/>
      <w:footerReference w:type="default" r:id="rId10"/>
      <w:footerReference w:type="first" r:id="rId11"/>
      <w:footerReference w:type="even" r:id="rId12"/>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334155"/>
        <w:sz w:val="16"/>
      </w:rPr>
      <w:t>Versión 1.2 - Vigente desde el 15 de septiembre de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334155"/>
        <w:sz w:val="16"/>
      </w:rPr>
      <w:t>NEVRANO.STUDIOS  |  Términos y Condiciones de Contratación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y Condiciones - Nevrano.Studios</dc:title>
  <dc:subject>Contratación y prestación de servicios de desarrollo web y sistemas digitales</dc:subject>
  <dc:creator>Nevrano.Studios</dc:creator>
  <cp:keywords>Nevrano Studios, términos y condiciones, desarrollo web, sistemas digitales</cp:keywords>
  <dc:description>generated by python-docx</dc:description>
  <cp:lastModifiedBy/>
  <cp:revision>1</cp:revision>
  <dcterms:created xsi:type="dcterms:W3CDTF">2013-12-23T23:15:00Z</dcterms:created>
  <dcterms:modified xsi:type="dcterms:W3CDTF">2013-12-23T23:15:00Z</dcterms:modified>
  <cp:category/>
</cp:coreProperties>
</file>